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51927">
      <w:pPr>
        <w:pageBreakBefore w:val="0"/>
        <w:kinsoku/>
        <w:wordWrap/>
        <w:overflowPunct/>
        <w:topLinePunct w:val="0"/>
        <w:autoSpaceDE/>
        <w:autoSpaceDN/>
        <w:bidi w:val="0"/>
        <w:adjustRightInd/>
        <w:spacing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网络安全运营服务</w:t>
      </w:r>
    </w:p>
    <w:p w14:paraId="03800757">
      <w:pPr>
        <w:pageBreakBefore w:val="0"/>
        <w:kinsoku/>
        <w:wordWrap/>
        <w:overflowPunct/>
        <w:topLinePunct w:val="0"/>
        <w:autoSpaceDE/>
        <w:autoSpaceDN/>
        <w:bidi w:val="0"/>
        <w:adjustRightInd/>
        <w:spacing w:line="240" w:lineRule="auto"/>
        <w:jc w:val="center"/>
        <w:textAlignment w:val="auto"/>
        <w:rPr>
          <w:rFonts w:hint="eastAsia" w:ascii="方正小标宋简体" w:hAnsi="方正小标宋简体" w:eastAsia="方正小标宋简体" w:cs="方正小标宋简体"/>
          <w:b w:val="0"/>
          <w:bCs w:val="0"/>
          <w:sz w:val="44"/>
          <w:szCs w:val="44"/>
          <w:lang w:val="en-US" w:eastAsia="zh-CN"/>
        </w:rPr>
      </w:pPr>
    </w:p>
    <w:p w14:paraId="6D403D15">
      <w:pPr>
        <w:pStyle w:val="4"/>
        <w:pageBreakBefore w:val="0"/>
        <w:kinsoku/>
        <w:wordWrap/>
        <w:overflowPunct/>
        <w:topLinePunct w:val="0"/>
        <w:autoSpaceDE/>
        <w:autoSpaceDN/>
        <w:bidi w:val="0"/>
        <w:adjustRightInd/>
        <w:spacing w:line="240" w:lineRule="auto"/>
        <w:jc w:val="left"/>
        <w:textAlignment w:val="auto"/>
        <w:rPr>
          <w:rFonts w:hint="eastAsia" w:ascii="黑体" w:hAnsi="黑体" w:eastAsia="黑体" w:cs="黑体"/>
          <w:b w:val="0"/>
          <w:bCs w:val="0"/>
        </w:rPr>
      </w:pPr>
      <w:r>
        <w:rPr>
          <w:rFonts w:hint="eastAsia" w:ascii="黑体" w:hAnsi="黑体" w:eastAsia="黑体" w:cs="黑体"/>
          <w:b w:val="0"/>
          <w:bCs w:val="0"/>
          <w:lang w:eastAsia="zh-CN"/>
        </w:rPr>
        <w:t>一、</w:t>
      </w:r>
      <w:r>
        <w:rPr>
          <w:rFonts w:hint="eastAsia" w:ascii="黑体" w:hAnsi="黑体" w:eastAsia="黑体" w:cs="黑体"/>
          <w:b w:val="0"/>
          <w:bCs w:val="0"/>
        </w:rPr>
        <w:t>网络安全监控服务</w:t>
      </w:r>
    </w:p>
    <w:p w14:paraId="4F3D983C">
      <w:pPr>
        <w:pStyle w:val="6"/>
        <w:pageBreakBefore w:val="0"/>
        <w:kinsoku/>
        <w:wordWrap/>
        <w:overflowPunct/>
        <w:topLinePunct w:val="0"/>
        <w:autoSpaceDE/>
        <w:autoSpaceDN/>
        <w:bidi w:val="0"/>
        <w:adjustRightInd/>
        <w:spacing w:line="240" w:lineRule="auto"/>
        <w:jc w:val="left"/>
        <w:textAlignment w:val="auto"/>
        <w:rPr>
          <w:rFonts w:hint="eastAsia" w:ascii="楷体_GB2312" w:hAnsi="楷体_GB2312" w:eastAsia="楷体_GB2312" w:cs="楷体_GB2312"/>
          <w:b w:val="0"/>
          <w:bCs w:val="0"/>
        </w:rPr>
      </w:pPr>
      <w:r>
        <w:rPr>
          <w:rFonts w:hint="eastAsia" w:ascii="楷体_GB2312" w:hAnsi="楷体_GB2312" w:eastAsia="楷体_GB2312" w:cs="楷体_GB2312"/>
          <w:b w:val="0"/>
          <w:bCs w:val="0"/>
          <w:lang w:eastAsia="zh-CN"/>
        </w:rPr>
        <w:t>（一）</w:t>
      </w:r>
      <w:r>
        <w:rPr>
          <w:rFonts w:hint="eastAsia" w:ascii="楷体_GB2312" w:hAnsi="楷体_GB2312" w:eastAsia="楷体_GB2312" w:cs="楷体_GB2312"/>
          <w:b w:val="0"/>
          <w:bCs w:val="0"/>
        </w:rPr>
        <w:t>服务对象</w:t>
      </w:r>
    </w:p>
    <w:p w14:paraId="3B5505F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广东省交通运输厅综合运输业务协同平台道路运输监管系统。</w:t>
      </w:r>
    </w:p>
    <w:p w14:paraId="0A8A4FE5">
      <w:pPr>
        <w:pStyle w:val="6"/>
        <w:pageBreakBefore w:val="0"/>
        <w:kinsoku/>
        <w:wordWrap/>
        <w:overflowPunct/>
        <w:topLinePunct w:val="0"/>
        <w:autoSpaceDE/>
        <w:autoSpaceDN/>
        <w:bidi w:val="0"/>
        <w:adjustRightInd/>
        <w:spacing w:line="240" w:lineRule="auto"/>
        <w:jc w:val="left"/>
        <w:textAlignment w:val="auto"/>
        <w:rPr>
          <w:rFonts w:hint="eastAsia" w:ascii="楷体_GB2312" w:hAnsi="楷体_GB2312" w:eastAsia="楷体_GB2312" w:cs="楷体_GB2312"/>
          <w:b w:val="0"/>
          <w:bCs w:val="0"/>
          <w:lang w:eastAsia="zh-CN"/>
        </w:rPr>
      </w:pPr>
      <w:r>
        <w:rPr>
          <w:rFonts w:hint="eastAsia" w:ascii="楷体_GB2312" w:hAnsi="楷体_GB2312" w:eastAsia="楷体_GB2312" w:cs="楷体_GB2312"/>
          <w:b w:val="0"/>
          <w:bCs w:val="0"/>
          <w:lang w:eastAsia="zh-CN"/>
        </w:rPr>
        <w:t>（二）服务目的</w:t>
      </w:r>
    </w:p>
    <w:p w14:paraId="545EE1C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通过巡检服务、渗透测试服务、重大安全会议保障服务、安全应急演练服务，满足交通厅的网络安全运营服务需求。</w:t>
      </w:r>
    </w:p>
    <w:p w14:paraId="5EF5E23A">
      <w:pPr>
        <w:pStyle w:val="6"/>
        <w:pageBreakBefore w:val="0"/>
        <w:kinsoku/>
        <w:wordWrap/>
        <w:overflowPunct/>
        <w:topLinePunct w:val="0"/>
        <w:autoSpaceDE/>
        <w:autoSpaceDN/>
        <w:bidi w:val="0"/>
        <w:adjustRightInd/>
        <w:spacing w:line="240" w:lineRule="auto"/>
        <w:jc w:val="left"/>
        <w:textAlignment w:val="auto"/>
        <w:rPr>
          <w:rFonts w:hint="eastAsia" w:ascii="楷体_GB2312" w:hAnsi="楷体_GB2312" w:eastAsia="楷体_GB2312" w:cs="楷体_GB2312"/>
          <w:b w:val="0"/>
          <w:bCs w:val="0"/>
          <w:lang w:eastAsia="zh-CN"/>
        </w:rPr>
      </w:pPr>
      <w:r>
        <w:rPr>
          <w:rFonts w:hint="eastAsia" w:ascii="楷体_GB2312" w:hAnsi="楷体_GB2312" w:eastAsia="楷体_GB2312" w:cs="楷体_GB2312"/>
          <w:b w:val="0"/>
          <w:bCs w:val="0"/>
          <w:lang w:eastAsia="zh-CN"/>
        </w:rPr>
        <w:t>（三）巡检服务</w:t>
      </w:r>
    </w:p>
    <w:p w14:paraId="05205BC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日常的安全巡检、漏洞扫描、基线排查、风险评估。</w:t>
      </w:r>
    </w:p>
    <w:p w14:paraId="37546AB4">
      <w:pPr>
        <w:pStyle w:val="7"/>
        <w:keepNext/>
        <w:keepLines/>
        <w:pageBreakBefore w:val="0"/>
        <w:widowControl w:val="0"/>
        <w:numPr>
          <w:ilvl w:val="4"/>
          <w:numId w:val="0"/>
        </w:numPr>
        <w:kinsoku/>
        <w:wordWrap/>
        <w:overflowPunct/>
        <w:topLinePunct w:val="0"/>
        <w:autoSpaceDE/>
        <w:autoSpaceDN/>
        <w:bidi w:val="0"/>
        <w:adjustRightInd/>
        <w:snapToGrid w:val="0"/>
        <w:spacing w:line="240" w:lineRule="auto"/>
        <w:ind w:leftChars="0"/>
        <w:jc w:val="left"/>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1.巡查监测服务</w:t>
      </w:r>
    </w:p>
    <w:p w14:paraId="3042E000">
      <w:pPr>
        <w:pStyle w:val="8"/>
        <w:keepNext/>
        <w:keepLines/>
        <w:pageBreakBefore w:val="0"/>
        <w:widowControl w:val="0"/>
        <w:numPr>
          <w:ilvl w:val="5"/>
          <w:numId w:val="0"/>
        </w:numPr>
        <w:kinsoku/>
        <w:wordWrap/>
        <w:overflowPunct/>
        <w:topLinePunct w:val="0"/>
        <w:autoSpaceDE/>
        <w:autoSpaceDN/>
        <w:bidi w:val="0"/>
        <w:adjustRightInd/>
        <w:snapToGrid w:val="0"/>
        <w:spacing w:line="240" w:lineRule="auto"/>
        <w:ind w:left="565" w:leftChars="0"/>
        <w:jc w:val="left"/>
        <w:textAlignment w:val="auto"/>
        <w:rPr>
          <w:rFonts w:hint="eastAsia" w:asciiTheme="minorEastAsia" w:hAnsiTheme="minorEastAsia" w:eastAsiaTheme="minorEastAsia" w:cstheme="minorEastAsia"/>
          <w:b w:val="0"/>
          <w:bCs w:val="0"/>
          <w:sz w:val="21"/>
          <w:szCs w:val="20"/>
        </w:rPr>
      </w:pPr>
      <w:r>
        <w:rPr>
          <w:rFonts w:hint="eastAsia" w:asciiTheme="minorEastAsia" w:hAnsiTheme="minorEastAsia" w:eastAsiaTheme="minorEastAsia" w:cstheme="minorEastAsia"/>
          <w:b w:val="0"/>
          <w:bCs w:val="0"/>
          <w:sz w:val="21"/>
          <w:szCs w:val="20"/>
          <w:lang w:val="en-US" w:eastAsia="zh-CN"/>
        </w:rPr>
        <w:t>1.1</w:t>
      </w:r>
      <w:r>
        <w:rPr>
          <w:rFonts w:hint="eastAsia" w:asciiTheme="minorEastAsia" w:hAnsiTheme="minorEastAsia" w:eastAsiaTheme="minorEastAsia" w:cstheme="minorEastAsia"/>
          <w:b w:val="0"/>
          <w:bCs w:val="0"/>
          <w:sz w:val="21"/>
          <w:szCs w:val="20"/>
        </w:rPr>
        <w:t>服务内容</w:t>
      </w:r>
    </w:p>
    <w:p w14:paraId="74C35641">
      <w:pPr>
        <w:pStyle w:val="9"/>
        <w:keepNext/>
        <w:keepLines/>
        <w:pageBreakBefore w:val="0"/>
        <w:widowControl w:val="0"/>
        <w:numPr>
          <w:ilvl w:val="6"/>
          <w:numId w:val="0"/>
        </w:numPr>
        <w:kinsoku/>
        <w:wordWrap/>
        <w:overflowPunct/>
        <w:topLinePunct w:val="0"/>
        <w:autoSpaceDE/>
        <w:autoSpaceDN/>
        <w:bidi w:val="0"/>
        <w:adjustRightInd/>
        <w:snapToGrid w:val="0"/>
        <w:spacing w:line="240" w:lineRule="auto"/>
        <w:ind w:left="678" w:leftChars="0"/>
        <w:jc w:val="left"/>
        <w:textAlignment w:val="auto"/>
        <w:rPr>
          <w:rFonts w:hint="eastAsia" w:asciiTheme="minorEastAsia" w:hAnsiTheme="minorEastAsia" w:eastAsiaTheme="minorEastAsia" w:cstheme="minorEastAsia"/>
          <w:b w:val="0"/>
          <w:bCs w:val="0"/>
          <w:sz w:val="21"/>
          <w:szCs w:val="20"/>
        </w:rPr>
      </w:pPr>
      <w:r>
        <w:rPr>
          <w:rFonts w:hint="eastAsia" w:asciiTheme="minorEastAsia" w:hAnsiTheme="minorEastAsia" w:eastAsiaTheme="minorEastAsia" w:cstheme="minorEastAsia"/>
          <w:b w:val="0"/>
          <w:bCs w:val="0"/>
          <w:sz w:val="21"/>
          <w:szCs w:val="20"/>
          <w:lang w:val="en-US" w:eastAsia="zh-CN"/>
        </w:rPr>
        <w:t>1.1.1</w:t>
      </w:r>
      <w:r>
        <w:rPr>
          <w:rFonts w:hint="eastAsia" w:asciiTheme="minorEastAsia" w:hAnsiTheme="minorEastAsia" w:eastAsiaTheme="minorEastAsia" w:cstheme="minorEastAsia"/>
          <w:b w:val="0"/>
          <w:bCs w:val="0"/>
          <w:sz w:val="21"/>
          <w:szCs w:val="20"/>
        </w:rPr>
        <w:t>在线Web网站监测服务</w:t>
      </w:r>
    </w:p>
    <w:p w14:paraId="13FAC506">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主要检测四方面内容，脆弱性检测、完整性检测、可用性检测和认证检测。第一，脆弱性检测主要帮助用户检测其网站面临的安全风险，为其提供专业化的安全建议；第二，完整性监测能够为用户甄别出其站点页面是否发生了恶意篡改，是否被恶意挂马，是否被嵌入敏感内容等信息；第三，可用性检测能够帮助用户了解其站点此时的通断状况，延迟状况，每一个用户关心的重点页面的实时加载状况；第四，认证检测主要能够为用户提供钓鱼网站监测的功能，一经发现，可协助客户向相关机构举报，由相关机构进行关停处理。</w:t>
      </w:r>
    </w:p>
    <w:p w14:paraId="797DD7B8">
      <w:pPr>
        <w:pStyle w:val="9"/>
        <w:pageBreakBefore w:val="0"/>
        <w:numPr>
          <w:ilvl w:val="6"/>
          <w:numId w:val="0"/>
        </w:numPr>
        <w:kinsoku/>
        <w:wordWrap/>
        <w:overflowPunct/>
        <w:topLinePunct w:val="0"/>
        <w:autoSpaceDE/>
        <w:autoSpaceDN/>
        <w:bidi w:val="0"/>
        <w:adjustRightInd/>
        <w:spacing w:line="240" w:lineRule="auto"/>
        <w:ind w:left="678" w:leftChars="0"/>
        <w:jc w:val="left"/>
        <w:textAlignment w:val="auto"/>
        <w:rPr>
          <w:rFonts w:hint="eastAsia" w:asciiTheme="minorEastAsia" w:hAnsiTheme="minorEastAsia" w:eastAsiaTheme="minorEastAsia" w:cstheme="minorEastAsia"/>
          <w:b w:val="0"/>
          <w:bCs w:val="0"/>
          <w:sz w:val="21"/>
          <w:szCs w:val="20"/>
          <w:lang w:val="en-US" w:eastAsia="zh-CN"/>
        </w:rPr>
      </w:pPr>
      <w:r>
        <w:rPr>
          <w:rFonts w:hint="eastAsia" w:asciiTheme="minorEastAsia" w:hAnsiTheme="minorEastAsia" w:eastAsiaTheme="minorEastAsia" w:cstheme="minorEastAsia"/>
          <w:b w:val="0"/>
          <w:bCs w:val="0"/>
          <w:sz w:val="21"/>
          <w:szCs w:val="20"/>
          <w:lang w:val="en-US" w:eastAsia="zh-CN"/>
        </w:rPr>
        <w:t>1.1.2网络及安全设备安全巡检</w:t>
      </w:r>
    </w:p>
    <w:p w14:paraId="4BD5D38B">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监控网络设备工作状态，监控重要运行信息，网络链路的连通状态，定期对网络设备监控记录和日志进行分析，发现系统存在的故障隐患和安全隐患，提出解决建议及协助处理。</w:t>
      </w:r>
    </w:p>
    <w:p w14:paraId="2FA5CC24">
      <w:pPr>
        <w:pStyle w:val="9"/>
        <w:pageBreakBefore w:val="0"/>
        <w:numPr>
          <w:ilvl w:val="6"/>
          <w:numId w:val="0"/>
        </w:numPr>
        <w:kinsoku/>
        <w:wordWrap/>
        <w:overflowPunct/>
        <w:topLinePunct w:val="0"/>
        <w:autoSpaceDE/>
        <w:autoSpaceDN/>
        <w:bidi w:val="0"/>
        <w:adjustRightInd/>
        <w:spacing w:line="240" w:lineRule="auto"/>
        <w:ind w:left="678" w:leftChars="0"/>
        <w:jc w:val="left"/>
        <w:textAlignment w:val="auto"/>
        <w:rPr>
          <w:rFonts w:hint="eastAsia" w:asciiTheme="minorEastAsia" w:hAnsiTheme="minorEastAsia" w:eastAsiaTheme="minorEastAsia" w:cstheme="minorEastAsia"/>
          <w:b w:val="0"/>
          <w:bCs w:val="0"/>
          <w:sz w:val="21"/>
          <w:szCs w:val="20"/>
          <w:lang w:val="en-US" w:eastAsia="zh-CN"/>
        </w:rPr>
      </w:pPr>
      <w:r>
        <w:rPr>
          <w:rFonts w:hint="eastAsia" w:asciiTheme="minorEastAsia" w:hAnsiTheme="minorEastAsia" w:eastAsiaTheme="minorEastAsia" w:cstheme="minorEastAsia"/>
          <w:b w:val="0"/>
          <w:bCs w:val="0"/>
          <w:sz w:val="21"/>
          <w:szCs w:val="20"/>
          <w:lang w:val="en-US" w:eastAsia="zh-CN"/>
        </w:rPr>
        <w:t>1.1.3Web防篡改服务</w:t>
      </w:r>
    </w:p>
    <w:p w14:paraId="1C29FFB8">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通过在服务器部署相关插件，实现常态防护在文件存活期内对文件的完整性和内容进行监测；对抗防护在文件遭到篡改攻击时实时侦测和拦截攻击行为。保持对外提供正常的页面访问。</w:t>
      </w:r>
    </w:p>
    <w:p w14:paraId="5C9F96C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按照网页篡改事件发生的时序，提供事中防护以及事后补偿的在线防护解决方案。事中，实时过滤 HTTP 请求中混杂的网页篡改攻击流量（如 SQL 注入、XSS 等）；事后，自动监控网站所有需保护页面的完整性，检测到网页被篡改，第一时间对管理员进行短信告警，对外仍显示篡改前的正常页面，用户可正常访问网站。</w:t>
      </w:r>
    </w:p>
    <w:p w14:paraId="3FB5D681">
      <w:pPr>
        <w:pStyle w:val="9"/>
        <w:pageBreakBefore w:val="0"/>
        <w:numPr>
          <w:ilvl w:val="6"/>
          <w:numId w:val="0"/>
        </w:numPr>
        <w:kinsoku/>
        <w:wordWrap/>
        <w:overflowPunct/>
        <w:topLinePunct w:val="0"/>
        <w:autoSpaceDE/>
        <w:autoSpaceDN/>
        <w:bidi w:val="0"/>
        <w:adjustRightInd/>
        <w:spacing w:line="240" w:lineRule="auto"/>
        <w:ind w:left="678" w:leftChars="0"/>
        <w:jc w:val="left"/>
        <w:textAlignment w:val="auto"/>
        <w:rPr>
          <w:rFonts w:hint="eastAsia" w:asciiTheme="minorEastAsia" w:hAnsiTheme="minorEastAsia" w:eastAsiaTheme="minorEastAsia" w:cstheme="minorEastAsia"/>
          <w:b w:val="0"/>
          <w:bCs w:val="0"/>
          <w:sz w:val="21"/>
          <w:szCs w:val="20"/>
          <w:lang w:val="en-US" w:eastAsia="zh-CN"/>
        </w:rPr>
      </w:pPr>
      <w:r>
        <w:rPr>
          <w:rFonts w:hint="eastAsia" w:asciiTheme="minorEastAsia" w:hAnsiTheme="minorEastAsia" w:eastAsiaTheme="minorEastAsia" w:cstheme="minorEastAsia"/>
          <w:b w:val="0"/>
          <w:bCs w:val="0"/>
          <w:sz w:val="21"/>
          <w:szCs w:val="20"/>
          <w:lang w:val="en-US" w:eastAsia="zh-CN"/>
        </w:rPr>
        <w:t>1.1.4安全漏洞扫描与安全加固服务</w:t>
      </w:r>
    </w:p>
    <w:p w14:paraId="272B064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利用专业的漏洞扫描工具每月通过对信息系统主机、应用系统、网络设备、安全设备等进行漏洞扫描和漏洞验证测试，结合各应用系统特点提出安全加固方案，并对信息系统的主机、网络设备、安全设备实施安全加固操作，制定并实施符合采购人信息系统特点的安全策略。通过每季度一次对信息系统的漏洞扫描及各层次的专业加固服务，全面提升信息系统的安全保障能力。</w:t>
      </w:r>
    </w:p>
    <w:p w14:paraId="3029766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1．漏洞扫描和评估</w:t>
      </w:r>
    </w:p>
    <w:p w14:paraId="18C02865">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对业务应用系统开展主机、中间件、数据库以及应用程序漏洞扫描，及时发现安全漏洞，作为安全加固工作输入；跟踪全球安全漏洞态势，在办公网络发起漏洞扫描工作，保证新型安全漏洞可以及时得到漏洞验证，及时发现新型漏洞对资产的影响情况；通过对新建设应用系统进行上线前漏洞扫描工作，提前发现系统安全漏洞，及时通知系统相关人员实施整改。</w:t>
      </w:r>
    </w:p>
    <w:p w14:paraId="397004D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2．安全加固</w:t>
      </w:r>
    </w:p>
    <w:p w14:paraId="3B7194D7">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对操作系统、中间件、数据库实施安全加固，保证信息系统抵御各种入侵行为、提高整体防御力、预防系统漏洞攻击、防止新增木马感染及破坏、防止外部黑客攻击；在漏洞扫描结果确认后实施安全加固，安全加固前3个工作日提交《安全加固方案》，经过审核批准后实施安全加固工作，安全加固完成后3个工作日提交《安全加固报告》；安全加固过程中充分把控实施过程风险，避免因安全加固导致业务中断。安全加固操作主要内容如下：</w:t>
      </w:r>
    </w:p>
    <w:p w14:paraId="68FA583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（1）补丁加载：修补系统安全漏洞类补丁、修补系统BUG类补丁；</w:t>
      </w:r>
    </w:p>
    <w:p w14:paraId="67B8B7B7">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（2）服务与端口：最小化服务、最小化服务端口；</w:t>
      </w:r>
    </w:p>
    <w:p w14:paraId="52FA7B3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（3）鉴别和认证：在所有的系统入口处采用严格的口令策略、在所有的系统入口处采用严格的身份认证策略；</w:t>
      </w:r>
    </w:p>
    <w:p w14:paraId="27D85A3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（4）访问控制：网络层访问控制、网络设备访问控制、操作系统访问控制、应用系统访问控制；</w:t>
      </w:r>
    </w:p>
    <w:p w14:paraId="41FD435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（5）审计和跟踪：日志：在操作系统、路由器、防火墙、入侵检测等设备上开启日志记录功能，保存并定期分析日志。</w:t>
      </w:r>
    </w:p>
    <w:p w14:paraId="7817E8B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安全加固需与道路运输监管系统运维单位共同完成，包括指导、实施、再复核等工作。</w:t>
      </w:r>
    </w:p>
    <w:p w14:paraId="19C7F638">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1.2服务频率</w:t>
      </w:r>
    </w:p>
    <w:p w14:paraId="7767398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安全漏洞扫描与加固每季度一次，其它每月一次。</w:t>
      </w:r>
    </w:p>
    <w:p w14:paraId="480E378F">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0"/>
          <w:lang w:val="en-US" w:eastAsia="zh-CN"/>
        </w:rPr>
      </w:pPr>
      <w:r>
        <w:rPr>
          <w:rFonts w:hint="eastAsia" w:asciiTheme="minorEastAsia" w:hAnsiTheme="minorEastAsia" w:eastAsiaTheme="minorEastAsia" w:cstheme="minorEastAsia"/>
          <w:b w:val="0"/>
          <w:bCs w:val="0"/>
          <w:sz w:val="21"/>
          <w:szCs w:val="20"/>
          <w:lang w:val="en-US" w:eastAsia="zh-CN"/>
        </w:rPr>
        <w:t>1.3服务成果</w:t>
      </w:r>
    </w:p>
    <w:p w14:paraId="0BBCD4E0">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《巡查监测报告》</w:t>
      </w:r>
    </w:p>
    <w:p w14:paraId="624ACAF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《安全漏洞扫描报告》</w:t>
      </w:r>
    </w:p>
    <w:p w14:paraId="2A94F24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《安全加固方案》</w:t>
      </w:r>
    </w:p>
    <w:p w14:paraId="3522698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《安全加固报告》</w:t>
      </w:r>
    </w:p>
    <w:p w14:paraId="5FCA84F3">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0"/>
          <w:lang w:val="en-US" w:eastAsia="zh-CN"/>
        </w:rPr>
      </w:pPr>
      <w:r>
        <w:rPr>
          <w:rFonts w:hint="eastAsia" w:asciiTheme="minorEastAsia" w:hAnsiTheme="minorEastAsia" w:eastAsiaTheme="minorEastAsia" w:cstheme="minorEastAsia"/>
          <w:b w:val="0"/>
          <w:bCs w:val="0"/>
          <w:sz w:val="21"/>
          <w:szCs w:val="20"/>
          <w:lang w:val="en-US" w:eastAsia="zh-CN"/>
        </w:rPr>
        <w:t>1.4 服务人员要求</w:t>
      </w:r>
    </w:p>
    <w:p w14:paraId="55763B6B">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投入的服务人员含1名初级人员（含初级及以上人员）。</w:t>
      </w:r>
    </w:p>
    <w:p w14:paraId="3547C96B">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2.渗透测试服务</w:t>
      </w:r>
    </w:p>
    <w:p w14:paraId="260877C7">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2.1服务内容</w:t>
      </w:r>
    </w:p>
    <w:p w14:paraId="1454969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通过本阶段的渗透测试可以与前期的工具扫描工作形成很好的互相补充。渗透测试是指完全站在攻击者角度对目标系统进行的安全性测试过程。通过模拟黑客可能使用的攻击技术和漏洞发现技术，对目标系统的安全性做深入的探测，发现系统最脆弱的环节，从而为综合运输服务子系统提供真实可信的安全风险描述。渗透测试一方面可以从攻击者的角度，检验业务系统的安全防护措施是否有效，各项安全策略是否得到贯彻落实；另一方面可以将潜在的安全风险以真实事件的方式凸现出来，从而有助于提高相关人员对信息安全事件的认识水平。</w:t>
      </w:r>
    </w:p>
    <w:p w14:paraId="678E148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渗透测试服务主要内容如下：</w:t>
      </w:r>
    </w:p>
    <w:p w14:paraId="48E6486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1．常规漏洞测试</w:t>
      </w:r>
    </w:p>
    <w:p w14:paraId="746022A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（1）目录遍历：检测渗透测试目标针对用户输入的特殊字符是否具有限制功能，避免攻击者绕过限制能够访问任意文件的风险。</w:t>
      </w:r>
    </w:p>
    <w:p w14:paraId="17E188F0">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（2）SQL注入：检测渗透测试目标针对用户输入的SQL命令是否具有过滤功能，避免攻击者将SQL命令注入到后端数据库引擎执行的风险。</w:t>
      </w:r>
    </w:p>
    <w:p w14:paraId="75252F46">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（3）反射型XSS：检测渗透测试目标针对用户输入的Script 代码是否具有过滤措施，避免嵌入Web页面的Script代码被执行的风险。</w:t>
      </w:r>
    </w:p>
    <w:p w14:paraId="6A8C6E2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（4）跨站伪造请求（CSRF）：检测渗透测试目标针对网络请求是否具有过滤功能，避免攻击者通过伪装请求来访问网站的风险。</w:t>
      </w:r>
    </w:p>
    <w:p w14:paraId="1EB17CD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（5）代码注入：检测渗透测试目标针对PHP代码是否具有过滤功能，避免攻击者构建特殊PHP代码注入到网站后端运行的风险。</w:t>
      </w:r>
    </w:p>
    <w:p w14:paraId="69DD01F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（6）LDAP注入：检测渗透测试目标针对输入的LDAP命令是否具有过滤功能，避免攻击者可能直接访问LDAP目录数据库的风险。</w:t>
      </w:r>
    </w:p>
    <w:p w14:paraId="5654B12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（7）XML注入：检测渗透测试目标针对输入的XML代码是否具有过滤功能，避免攻击者输入恶意的代码来执行自身权限以外功能的风险。</w:t>
      </w:r>
    </w:p>
    <w:p w14:paraId="4528B68B">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（8）意外文件格式上传：检测渗透测试目标针对上传的文件是否具有过滤功能，避免攻击者构造特殊文件上传至服务器的风险。 </w:t>
      </w:r>
    </w:p>
    <w:p w14:paraId="1DEE3D1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（9）登出会话遗留：检测渗透测试目标针对会话session是否具有限制功能，避免服务器资源被大量消耗或会话重放等风险。</w:t>
      </w:r>
    </w:p>
    <w:p w14:paraId="6731475B">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（10）任意文件下载：检测渗透测试目标针对文件下载是否具有限制功能，避免攻击者能够查看或下载任意文件。</w:t>
      </w:r>
    </w:p>
    <w:p w14:paraId="53144945">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2．中间件漏洞测试</w:t>
      </w:r>
    </w:p>
    <w:p w14:paraId="74C48936">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（1）Tomcat未授权访问：检测渗透测试目标针对Tomcat访问具有限制功能，避免攻击者未授权访问Tomcat的风险。</w:t>
      </w:r>
    </w:p>
    <w:p w14:paraId="10DFB930">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（2）Weblogic漏洞：检测渗透测试目标是否存在WebLogic反序列化等安全漏洞，避免攻击者绕过限制执行远程命令攻击的风险。</w:t>
      </w:r>
    </w:p>
    <w:p w14:paraId="06EC93E5">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（3）Struts2漏洞：检测渗透测试目标是否存在Struts2漏洞情况，避免系统存在被远程任意代码执行的风险。</w:t>
      </w:r>
    </w:p>
    <w:p w14:paraId="3363599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（4）JBoss漏洞：检测渗透测试目标使用的JBoss是否存在漏洞，避免攻击者攻击JBoss服务的风险。</w:t>
      </w:r>
    </w:p>
    <w:p w14:paraId="7F58D56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（5）WebSphere漏洞：检测渗透测试目标使用的WebSphere是否存在漏洞，避免攻击者攻击WebSphere服务的风险。</w:t>
      </w:r>
    </w:p>
    <w:p w14:paraId="3783462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（6）IIS漏洞：检测渗透测试目标使用的IIS是否存在漏洞，避免攻击者攻击IIS服务的风险。</w:t>
      </w:r>
    </w:p>
    <w:p w14:paraId="267535F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（7）php-fpm未授权访问漏洞：检测渗透测试目标针对PHP-FPM 访问是否具有限制功能，避免攻击者构造fastcgi协议执行任意代码的风险。 </w:t>
      </w:r>
    </w:p>
    <w:p w14:paraId="74CA4F2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（8）Redis未授权访问：检测渗透测试目标针对Redis访问是否具有限制功能，避免攻击者使用root账户写入SSH公钥文件，从而直接通过SSH登录服务器的风险。</w:t>
      </w:r>
    </w:p>
    <w:p w14:paraId="45BAB6B8">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（9）Memcache未授权访问：检测渗透测试目标针对Memcache 访问是否具有限制功能，避免攻击者未授权访问Memcache的风险。</w:t>
      </w:r>
    </w:p>
    <w:p w14:paraId="25EBF9F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（10）MongoDB未授权访问：检测渗透测试目标针对MongoDB 访问是否具有限制功能，避免攻击者未授权访问MongoDB的风险。</w:t>
      </w:r>
    </w:p>
    <w:p w14:paraId="432A9047">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（11）Phpmyadmin测试：检测渗透测试目标Phpmyadmin安全配置情况，避免攻击者攻击phpMyAdmin服务的风险。</w:t>
      </w:r>
    </w:p>
    <w:p w14:paraId="599A410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（12）中间件弱口令：检测渗透测试目标使用的中间件是否存在弱口令的情况，避免攻击者暴力破解口令从而获得系统权限的风险。</w:t>
      </w:r>
    </w:p>
    <w:p w14:paraId="3EC35D1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3．业务安全测试</w:t>
      </w:r>
    </w:p>
    <w:p w14:paraId="7B707BE4">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（1）弱口令：检测渗透测试目标在处理</w:t>
      </w:r>
      <w:r>
        <w:rPr>
          <w:rFonts w:hint="eastAsia" w:asciiTheme="minorEastAsia" w:hAnsiTheme="minorEastAsia" w:cstheme="minorEastAsia"/>
          <w:b w:val="0"/>
          <w:bCs w:val="0"/>
          <w:sz w:val="21"/>
          <w:szCs w:val="21"/>
          <w:lang w:val="en-US" w:eastAsia="zh-CN"/>
        </w:rPr>
        <w:t>账号</w:t>
      </w:r>
      <w:r>
        <w:rPr>
          <w:rFonts w:hint="eastAsia" w:asciiTheme="minorEastAsia" w:hAnsiTheme="minorEastAsia" w:eastAsiaTheme="minorEastAsia" w:cstheme="minorEastAsia"/>
          <w:b w:val="0"/>
          <w:bCs w:val="0"/>
          <w:sz w:val="21"/>
          <w:szCs w:val="21"/>
          <w:lang w:val="en-US" w:eastAsia="zh-CN"/>
        </w:rPr>
        <w:t>注册环节是否具有口令强度限制功能，避免用户可以使用弱口令注册，造成用户</w:t>
      </w:r>
      <w:r>
        <w:rPr>
          <w:rFonts w:hint="eastAsia" w:asciiTheme="minorEastAsia" w:hAnsiTheme="minorEastAsia" w:cstheme="minorEastAsia"/>
          <w:b w:val="0"/>
          <w:bCs w:val="0"/>
          <w:sz w:val="21"/>
          <w:szCs w:val="21"/>
          <w:lang w:val="en-US" w:eastAsia="zh-CN"/>
        </w:rPr>
        <w:t>账号</w:t>
      </w:r>
      <w:r>
        <w:rPr>
          <w:rFonts w:hint="eastAsia" w:asciiTheme="minorEastAsia" w:hAnsiTheme="minorEastAsia" w:eastAsiaTheme="minorEastAsia" w:cstheme="minorEastAsia"/>
          <w:b w:val="0"/>
          <w:bCs w:val="0"/>
          <w:sz w:val="21"/>
          <w:szCs w:val="21"/>
          <w:lang w:val="en-US" w:eastAsia="zh-CN"/>
        </w:rPr>
        <w:t>被轻易暴力破解的风险。</w:t>
      </w:r>
    </w:p>
    <w:p w14:paraId="6C9B2BB6">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（2）平行/垂直越权：检测渗透测试目标在权限处理环节是否具有限制功能，避免攻击者横向或纵向越权操作带来的风险。</w:t>
      </w:r>
    </w:p>
    <w:p w14:paraId="0C11CEE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（3）密码重置漏洞：检测渗透测试目标在密码重设和密码找回环节是否存在缺陷，避免攻击者能够重置用户密码的风险。 </w:t>
      </w:r>
    </w:p>
    <w:p w14:paraId="2E374674">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（4）会话超时检测：检测渗透测试目标是否具有会话有效时间限制功能，避免攻击者能够利用会话进行攻击的风险。</w:t>
      </w:r>
    </w:p>
    <w:p w14:paraId="4F025998">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w:t>
      </w:r>
      <w:r>
        <w:rPr>
          <w:rFonts w:hint="eastAsia" w:asciiTheme="minorEastAsia" w:hAnsiTheme="minorEastAsia" w:cstheme="minorEastAsia"/>
          <w:b w:val="0"/>
          <w:bCs w:val="0"/>
          <w:sz w:val="21"/>
          <w:szCs w:val="21"/>
          <w:lang w:val="en-US" w:eastAsia="zh-CN"/>
        </w:rPr>
        <w:t>登录</w:t>
      </w:r>
      <w:r>
        <w:rPr>
          <w:rFonts w:hint="eastAsia" w:asciiTheme="minorEastAsia" w:hAnsiTheme="minorEastAsia" w:eastAsiaTheme="minorEastAsia" w:cstheme="minorEastAsia"/>
          <w:b w:val="0"/>
          <w:bCs w:val="0"/>
          <w:sz w:val="21"/>
          <w:szCs w:val="21"/>
          <w:lang w:val="en-US" w:eastAsia="zh-CN"/>
        </w:rPr>
        <w:t>错误限制：检测渗透测试目标针对密码登录错误的次数是否具有限制功能，避免攻击者进行暴力破解的风险。</w:t>
      </w:r>
    </w:p>
    <w:p w14:paraId="02E0B92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（6）验证码测试：检测渗透测试目标是否有验证码机制以及验证码机制是否完善，避免攻击者进行暴力破解的风险。</w:t>
      </w:r>
    </w:p>
    <w:p w14:paraId="4D1C514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（7）重放攻击：检测渗透测试目标在身份认证等过程是否具有过滤及限制功能，避免攻击者进行重放攻击（Replay Attacks）的风险。</w:t>
      </w:r>
    </w:p>
    <w:p w14:paraId="750B99B8">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4．通信安全测试</w:t>
      </w:r>
    </w:p>
    <w:p w14:paraId="0094A1E8">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（1）HTTP测试：检测渗透测试目标针对不必要的HTTP方法（如DELETE、PUT、TRACE、MOVE、COPY）具有限制功能，避免HTTP受攻击面变大的风险。</w:t>
      </w:r>
    </w:p>
    <w:p w14:paraId="1A1C1AF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（2）HTTPS证书校验错误：检测渗透测试目标SSL证书的兼容性、证书配置、证书过期等情况，避免系统证书被攻击的风险。</w:t>
      </w:r>
    </w:p>
    <w:p w14:paraId="5BF090F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（3）不安全的SSL/TLS：检测渗透测试目标SSL/TLS配置情况，避免信息在客户端被拦截和篡改的风险。</w:t>
      </w:r>
    </w:p>
    <w:p w14:paraId="31DB6000">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（4）URL携带敏感信息：检测渗透测试目标在通信过程中的 url 参数中是否带有明文敏感信息，避免信息泄露的风险。</w:t>
      </w:r>
    </w:p>
    <w:p w14:paraId="2F18CC36">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5．服务器安全测试 </w:t>
      </w:r>
    </w:p>
    <w:p w14:paraId="60EA145B">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（1）端口检测：检测渗透测试目标端口开放的情况，避免不必要的端口被恶意攻击的风险。</w:t>
      </w:r>
    </w:p>
    <w:p w14:paraId="2B693DF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（2）FTP弱口令匿名访问：检测渗透测试目标FTP是否存在弱口令或匿名登录漏洞，避免攻击者破解FTP口令或者匿名访问FTP 服务的风险。</w:t>
      </w:r>
    </w:p>
    <w:p w14:paraId="4F5502B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（3）操作系统漏洞：检测渗透测试目标操作系统是否存在漏洞未修复的情况，避免攻击者利用漏洞可以实现远程代码执行控制操作系统、提升权限等风险。</w:t>
      </w:r>
    </w:p>
    <w:p w14:paraId="49A657F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（4）数据库漏洞：检测渗透测试目标数据库是否存在漏洞未修复的情况，避免攻击者利用漏洞窃取数据库信息。</w:t>
      </w:r>
    </w:p>
    <w:p w14:paraId="7ACB8E3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（5）远程登录漏洞：检测渗透测试目标是否开启了远程连接以及远程连接是否具有限制功能，避免攻击者能够远程登录的风险。</w:t>
      </w:r>
    </w:p>
    <w:p w14:paraId="5B25F67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6．信息泄露测试</w:t>
      </w:r>
    </w:p>
    <w:p w14:paraId="5F65C89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（1）管理后台泄露：检测渗透测试目标是否存在管理后台泄露的情况，避免管理后台成为攻击者暴力破解目标的风险。</w:t>
      </w:r>
    </w:p>
    <w:p w14:paraId="67C4799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（2）错误信息泄露：检测渗透测试目标针对用户输入的特殊数据是否具有过滤功能，避免系统报错信息泄露敏感信息的风险。</w:t>
      </w:r>
    </w:p>
    <w:p w14:paraId="351DF0BB">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（3）配置文件泄露：检测渗透测试目标重要配置文件读写权限的设置情况，避免系统文件被攻击者读取造成敏感信息泄露的风险。 </w:t>
      </w:r>
    </w:p>
    <w:p w14:paraId="3B6F17B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（4）源码泄露：检测渗透测试目标是否存在源代码泄露的情况，避免攻击者通过分析源代码寻找系统隐藏漏洞的风险。</w:t>
      </w:r>
    </w:p>
    <w:p w14:paraId="0C7F55CB">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2.1服务频率</w:t>
      </w:r>
    </w:p>
    <w:p w14:paraId="67C7804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服务期内一次。</w:t>
      </w:r>
    </w:p>
    <w:p w14:paraId="217C8E10">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2.3服务成果</w:t>
      </w:r>
    </w:p>
    <w:p w14:paraId="537F3BA6">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《渗透测试报告》</w:t>
      </w:r>
    </w:p>
    <w:p w14:paraId="751A16DF">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2.4服务人员要求</w:t>
      </w:r>
    </w:p>
    <w:p w14:paraId="37BAE85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投入的服务人员含2名中级人员（含中级及以上人员）。</w:t>
      </w:r>
    </w:p>
    <w:p w14:paraId="1181A8DF">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3.风险评估服务</w:t>
      </w:r>
    </w:p>
    <w:p w14:paraId="0AB84817">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3.1</w:t>
      </w:r>
      <w:r>
        <w:rPr>
          <w:rFonts w:hint="eastAsia" w:asciiTheme="minorEastAsia" w:hAnsiTheme="minorEastAsia" w:eastAsiaTheme="minorEastAsia" w:cstheme="minorEastAsia"/>
          <w:b w:val="0"/>
          <w:bCs w:val="0"/>
          <w:sz w:val="21"/>
          <w:szCs w:val="21"/>
        </w:rPr>
        <w:t>服务内容</w:t>
      </w:r>
    </w:p>
    <w:p w14:paraId="11FA378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采用文档收集，问卷调查，弱点分析，配置检查和评估管理工具结合等多种手段，开展一次风险评估服务。应完成安全需求调研、安全技术水平调研、安全威胁调研、安全威胁分析，总体风险分析、安全应对措施建议，并形成风险评估报告。评估内容如下：</w:t>
      </w:r>
    </w:p>
    <w:p w14:paraId="73A8A6A5">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1)业务要求和目标分析：分析业务对信息系统的要求和目标，如可用性要求、完整性要求和安全性要求等。针对不同的目标确定其优先级，得出重点保障的要求和目标。</w:t>
      </w:r>
    </w:p>
    <w:p w14:paraId="0DCE99A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威胁建模：针对重点保障的要求和目标，构建信息安全威胁模型。具体过程包括：分析可能的攻击者，对攻击者进行分类，并考虑各类攻击者可能利用的攻击方式、方法和途径。分析信息系统物理环境、网络平台、主机存储、系统部署结构可能面临的威胁等。依据构建的威胁模型，进行脆弱性分析。</w:t>
      </w:r>
    </w:p>
    <w:p w14:paraId="60845E9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3)风险分析针对重点保障的要求和目标，以及威胁模型分析情况，评估业务系统存在的风险，重点评估风险的不同级别。</w:t>
      </w:r>
    </w:p>
    <w:p w14:paraId="5DF620B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4)风险控制措施对所有风险情况进行统计、分析及总结，提出有针对性的风险控制措施。针对综合运输服务子系统的总体情况，提出整体安全控制措施并形成完善解决方案，保障支撑业务安全目标的实现。</w:t>
      </w:r>
    </w:p>
    <w:p w14:paraId="255496C5">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3.2</w:t>
      </w:r>
      <w:r>
        <w:rPr>
          <w:rFonts w:hint="eastAsia" w:asciiTheme="minorEastAsia" w:hAnsiTheme="minorEastAsia" w:eastAsiaTheme="minorEastAsia" w:cstheme="minorEastAsia"/>
          <w:b w:val="0"/>
          <w:bCs w:val="0"/>
          <w:sz w:val="21"/>
          <w:szCs w:val="21"/>
        </w:rPr>
        <w:t>服务频率</w:t>
      </w:r>
    </w:p>
    <w:p w14:paraId="6FF2EB7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服务期内一次。</w:t>
      </w:r>
    </w:p>
    <w:p w14:paraId="6DBD56D5">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3.3</w:t>
      </w:r>
      <w:r>
        <w:rPr>
          <w:rFonts w:hint="eastAsia" w:asciiTheme="minorEastAsia" w:hAnsiTheme="minorEastAsia" w:eastAsiaTheme="minorEastAsia" w:cstheme="minorEastAsia"/>
          <w:b w:val="0"/>
          <w:bCs w:val="0"/>
          <w:sz w:val="21"/>
          <w:szCs w:val="21"/>
        </w:rPr>
        <w:t>服务成果</w:t>
      </w:r>
    </w:p>
    <w:p w14:paraId="5B54F8C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《风险评估报告》</w:t>
      </w:r>
    </w:p>
    <w:p w14:paraId="7D0EA15C">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3.4服务人员要求</w:t>
      </w:r>
    </w:p>
    <w:p w14:paraId="765387D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投入的服务人员含2名中级人员（含中级及以上人员）。</w:t>
      </w:r>
    </w:p>
    <w:p w14:paraId="40A1E5C4">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p>
    <w:p w14:paraId="57B03CB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p>
    <w:p w14:paraId="01763C35">
      <w:pPr>
        <w:pStyle w:val="6"/>
        <w:pageBreakBefore w:val="0"/>
        <w:kinsoku/>
        <w:wordWrap/>
        <w:overflowPunct/>
        <w:topLinePunct w:val="0"/>
        <w:autoSpaceDE/>
        <w:autoSpaceDN/>
        <w:bidi w:val="0"/>
        <w:adjustRightInd/>
        <w:spacing w:line="240" w:lineRule="auto"/>
        <w:jc w:val="left"/>
        <w:textAlignment w:val="auto"/>
        <w:rPr>
          <w:rFonts w:hint="eastAsia" w:ascii="楷体_GB2312" w:hAnsi="楷体_GB2312" w:eastAsia="楷体_GB2312" w:cs="楷体_GB2312"/>
          <w:b w:val="0"/>
          <w:bCs w:val="0"/>
          <w:lang w:eastAsia="zh-CN"/>
        </w:rPr>
      </w:pPr>
      <w:r>
        <w:rPr>
          <w:rFonts w:hint="eastAsia" w:ascii="楷体_GB2312" w:hAnsi="楷体_GB2312" w:eastAsia="楷体_GB2312" w:cs="楷体_GB2312"/>
          <w:b w:val="0"/>
          <w:bCs w:val="0"/>
          <w:lang w:eastAsia="zh-CN"/>
        </w:rPr>
        <w:t>（四）重大会议安全保障服务</w:t>
      </w:r>
    </w:p>
    <w:p w14:paraId="7E75441F">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1.服务内容</w:t>
      </w:r>
    </w:p>
    <w:p w14:paraId="1494A8D5">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1.1</w:t>
      </w:r>
      <w:r>
        <w:rPr>
          <w:rFonts w:hint="eastAsia" w:asciiTheme="minorEastAsia" w:hAnsiTheme="minorEastAsia" w:eastAsiaTheme="minorEastAsia" w:cstheme="minorEastAsia"/>
          <w:b w:val="0"/>
          <w:bCs w:val="0"/>
          <w:sz w:val="21"/>
          <w:szCs w:val="21"/>
        </w:rPr>
        <w:t>会前安全巡检</w:t>
      </w:r>
    </w:p>
    <w:p w14:paraId="5CFB6DA4">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根据省网信办、省公安厅、省交通厅及省经信委等有关上级主管部门关于信息系统网络安全检查要求，在有重大会议举办事，应在会前进行信息安全现场巡检服务，根据相关信息安全技术标准对主要安全设备、主机及交换设备、安全环境及制度进行巡检，掌握信息系统及网络安全设备的运行状态，分析安全风险，及时发现存在的信息安全问题，并提供解决安全问题方案。</w:t>
      </w:r>
    </w:p>
    <w:p w14:paraId="0220F214">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安全巡检服务内容如下：</w:t>
      </w:r>
    </w:p>
    <w:p w14:paraId="64F58B9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1．网络边界安全防护检查</w:t>
      </w:r>
    </w:p>
    <w:p w14:paraId="00D18F7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检查网络拓扑图，分析其是否符合相关安全要求，如是否部署了网络边界访问控制设备（防火墙）、安全隔离设备等，是否对相关重要网络安全设备、服务器设备进行安全策略检查、设备运行状态情况检查，同时开启日志审计并存储，以便后期溯源。</w:t>
      </w:r>
    </w:p>
    <w:p w14:paraId="4B6E8A4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2．终端计算机安全防护检查</w:t>
      </w:r>
    </w:p>
    <w:p w14:paraId="6BBABA8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使用专业工具对以下内容进行检查：抽查部分重要终端计算机，检查终端计算机是否安装与工作无关的软件；检查是否有统一管理终端的软件以及防病毒软件的部署情况和漏洞修复情况；检查终端计算机的相关安全策略配置情况，是否按照相关的安全要求设置安全策略，如口令策略和审计策略等；检查重要移动介质安全情况，是否存在涉密信息或病毒，确保介质安全使用。</w:t>
      </w:r>
    </w:p>
    <w:p w14:paraId="570FC2E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3．漏洞修复情况检查</w:t>
      </w:r>
    </w:p>
    <w:p w14:paraId="0E1E6E8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检查单位对两个应用系统的漏洞扫描时间与周期，是否有规范的安全扫描报告以及漏洞修复处理情况记录。</w:t>
      </w:r>
    </w:p>
    <w:p w14:paraId="6EE69BF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4．网络安全应急工作情况检查</w:t>
      </w:r>
    </w:p>
    <w:p w14:paraId="0933168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检查是否制定网络安全应急预案及落实情况；检查应急演练计划、方案、记录、总结等文档，是否切合实际进行过应急演练工作；检查询问是否有完备的应急技术支援队伍和资源；检查重要系统及数据的备份情况，是否在出现信息安全事件时能及时进行恢复。</w:t>
      </w:r>
    </w:p>
    <w:p w14:paraId="05314FF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5．无线网络安全防护检查</w:t>
      </w:r>
    </w:p>
    <w:p w14:paraId="2C16DE42">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登录无线设备管理页面，检查是否采用WPA2以上的加密认证方式以及登录密码的复杂度情况等安全防护策略；是否存在默认管理网址和密码。</w:t>
      </w:r>
    </w:p>
    <w:p w14:paraId="51C0BDB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6．网络安全事件情况检查</w:t>
      </w:r>
    </w:p>
    <w:p w14:paraId="47FD1E5B">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检查网络安全设备（如IDS、网络防火墙、WAF、数据库审计等设备）的日志记录，是否存在攻击日志；检查本年度出现的安全事件记录文件，以及从其他安全平台上收到的安全事件分析提示数据。</w:t>
      </w:r>
    </w:p>
    <w:p w14:paraId="1B89815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7．外包服务管理情况检查</w:t>
      </w:r>
    </w:p>
    <w:p w14:paraId="4104EA4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了解目前与单位合作的外包服务公司，检查信息技术外包服务合同及网络安全与保密协议，是否符合安全要求；检查外包服务人员现场服务的相关记录文档，是否符合安全规定；检查是否存在远程在线服务，对远程在线服务评估、访问控制、在线监控、日志审计等安全防护措施。</w:t>
      </w:r>
    </w:p>
    <w:p w14:paraId="77EDC20D">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8．人员管理检查</w:t>
      </w:r>
    </w:p>
    <w:p w14:paraId="23694335">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检查人员是否签订网络安全与保密协议；人员离岗离职时是否终止信息系统访问</w:t>
      </w:r>
      <w:bookmarkStart w:id="1" w:name="_GoBack"/>
      <w:bookmarkEnd w:id="1"/>
      <w:r>
        <w:rPr>
          <w:rFonts w:hint="eastAsia" w:asciiTheme="minorEastAsia" w:hAnsiTheme="minorEastAsia" w:cstheme="minorEastAsia"/>
          <w:b w:val="0"/>
          <w:bCs w:val="0"/>
          <w:sz w:val="21"/>
          <w:szCs w:val="21"/>
          <w:lang w:val="en-US" w:eastAsia="zh-CN"/>
        </w:rPr>
        <w:t>权限</w:t>
      </w:r>
      <w:r>
        <w:rPr>
          <w:rFonts w:hint="eastAsia" w:asciiTheme="minorEastAsia" w:hAnsiTheme="minorEastAsia" w:eastAsiaTheme="minorEastAsia" w:cstheme="minorEastAsia"/>
          <w:b w:val="0"/>
          <w:bCs w:val="0"/>
          <w:sz w:val="21"/>
          <w:szCs w:val="21"/>
          <w:lang w:val="en-US" w:eastAsia="zh-CN"/>
        </w:rPr>
        <w:t>，收回各种软硬件设备及身份证件、门禁卡等；外部人员访问机房等重要区域时是否有审批制度文件及相关登记文档。</w:t>
      </w:r>
    </w:p>
    <w:p w14:paraId="2F1CA0D8">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9．信息资产管理检查</w:t>
      </w:r>
    </w:p>
    <w:p w14:paraId="32E4B5F0">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检查单位现有的信息资产管理制度文件，是否建立和完整；检查是否有指定专门设备管理员及岗位职责文件；检查资产的登记情况，随机抽查资产，检查是否有对应的实物。</w:t>
      </w:r>
    </w:p>
    <w:p w14:paraId="1E236985">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1.2</w:t>
      </w:r>
      <w:r>
        <w:rPr>
          <w:rFonts w:hint="eastAsia" w:asciiTheme="minorEastAsia" w:hAnsiTheme="minorEastAsia" w:eastAsiaTheme="minorEastAsia" w:cstheme="minorEastAsia"/>
          <w:b w:val="0"/>
          <w:bCs w:val="0"/>
          <w:sz w:val="21"/>
          <w:szCs w:val="21"/>
        </w:rPr>
        <w:t>会中网站实时监控服务</w:t>
      </w:r>
    </w:p>
    <w:p w14:paraId="12FF3B17">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在重大会议举办期间，采用专业稳定可靠的网站安全监控平台，实行7*24小时在线监测，监测网站可用性、页面篡改、网页挂木马、非法关键字等，发现网站存在异常情况立即通知网站维护人员，并指导进行故障排除及恢复。监控服务内容按网站日常安全在线监测内容进行实施，需根据监测情况提交监测报告。</w:t>
      </w:r>
    </w:p>
    <w:p w14:paraId="6295540F">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1.3</w:t>
      </w:r>
      <w:r>
        <w:rPr>
          <w:rFonts w:hint="eastAsia" w:asciiTheme="minorEastAsia" w:hAnsiTheme="minorEastAsia" w:eastAsiaTheme="minorEastAsia" w:cstheme="minorEastAsia"/>
          <w:b w:val="0"/>
          <w:bCs w:val="0"/>
          <w:sz w:val="21"/>
          <w:szCs w:val="21"/>
        </w:rPr>
        <w:t>会议期间7*24 小时人工值守服务</w:t>
      </w:r>
    </w:p>
    <w:p w14:paraId="26D7BEC4">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重大会议举办期间的人工值守工作主要是为了确保在会议举办期间如果出现信息安全事件时，需要经验丰富的应急支撑专家团队及时发现和处理，将安全事件扼杀在萌芽状态。同时也为了防止会议期间因相关设备和系统出现故障，而影响信息系统的安全稳定运行、带来不利的影响。人工值守服务主要工作是安排专业安全人员和应急专家对系统及相关的设备进行7*24小时不间断的监控和检查，确保能及时发现可能出现的安全问题，及时上报领导并处理问题。</w:t>
      </w:r>
    </w:p>
    <w:p w14:paraId="0CEF986A">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2.服务频率</w:t>
      </w:r>
    </w:p>
    <w:p w14:paraId="063C2C5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服务期内按需响应，服务期内不超过2次。</w:t>
      </w:r>
    </w:p>
    <w:p w14:paraId="1A27F720">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3.服务成果</w:t>
      </w:r>
    </w:p>
    <w:p w14:paraId="03A4E0D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《安全值守工作报告》</w:t>
      </w:r>
    </w:p>
    <w:p w14:paraId="3DE71573">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4.服务人员要求</w:t>
      </w:r>
    </w:p>
    <w:p w14:paraId="76669A56">
      <w:pPr>
        <w:pageBreakBefore w:val="0"/>
        <w:numPr>
          <w:ilvl w:val="0"/>
          <w:numId w:val="0"/>
        </w:numPr>
        <w:kinsoku/>
        <w:wordWrap/>
        <w:overflowPunct/>
        <w:topLinePunct w:val="0"/>
        <w:autoSpaceDE/>
        <w:autoSpaceDN/>
        <w:bidi w:val="0"/>
        <w:adjustRightInd/>
        <w:spacing w:line="240" w:lineRule="auto"/>
        <w:ind w:firstLine="42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投入的服务人员含1名初级人员（含初级及以上人员）。</w:t>
      </w:r>
    </w:p>
    <w:p w14:paraId="454E7406">
      <w:pPr>
        <w:pStyle w:val="5"/>
        <w:numPr>
          <w:ilvl w:val="0"/>
          <w:numId w:val="0"/>
        </w:numPr>
        <w:rPr>
          <w:rFonts w:hint="eastAsia" w:asciiTheme="minorEastAsia" w:hAnsiTheme="minorEastAsia" w:eastAsiaTheme="minorEastAsia" w:cstheme="minorEastAsia"/>
          <w:lang w:eastAsia="zh-CN"/>
        </w:rPr>
      </w:pPr>
    </w:p>
    <w:p w14:paraId="1B7FC341">
      <w:pPr>
        <w:pStyle w:val="4"/>
        <w:pageBreakBefore w:val="0"/>
        <w:kinsoku/>
        <w:wordWrap/>
        <w:overflowPunct/>
        <w:topLinePunct w:val="0"/>
        <w:autoSpaceDE/>
        <w:autoSpaceDN/>
        <w:bidi w:val="0"/>
        <w:adjustRightInd/>
        <w:spacing w:line="240" w:lineRule="auto"/>
        <w:jc w:val="left"/>
        <w:textAlignment w:val="auto"/>
        <w:rPr>
          <w:rFonts w:hint="eastAsia" w:ascii="黑体" w:hAnsi="黑体" w:eastAsia="黑体" w:cs="黑体"/>
          <w:b w:val="0"/>
          <w:bCs w:val="0"/>
          <w:lang w:eastAsia="zh-CN"/>
        </w:rPr>
      </w:pPr>
      <w:r>
        <w:rPr>
          <w:rFonts w:hint="eastAsia" w:ascii="黑体" w:hAnsi="黑体" w:eastAsia="黑体" w:cs="黑体"/>
          <w:b w:val="0"/>
          <w:bCs w:val="0"/>
          <w:lang w:eastAsia="zh-CN"/>
        </w:rPr>
        <w:t>二、安全应急演练服务</w:t>
      </w:r>
    </w:p>
    <w:p w14:paraId="4FDD5051">
      <w:pPr>
        <w:pStyle w:val="6"/>
        <w:pageBreakBefore w:val="0"/>
        <w:kinsoku/>
        <w:wordWrap/>
        <w:overflowPunct/>
        <w:topLinePunct w:val="0"/>
        <w:autoSpaceDE/>
        <w:autoSpaceDN/>
        <w:bidi w:val="0"/>
        <w:adjustRightInd/>
        <w:spacing w:line="240" w:lineRule="auto"/>
        <w:jc w:val="left"/>
        <w:textAlignment w:val="auto"/>
        <w:rPr>
          <w:rFonts w:hint="eastAsia" w:ascii="楷体_GB2312" w:hAnsi="楷体_GB2312" w:eastAsia="楷体_GB2312" w:cs="楷体_GB2312"/>
          <w:b w:val="0"/>
          <w:bCs w:val="0"/>
          <w:lang w:eastAsia="zh-CN"/>
        </w:rPr>
      </w:pPr>
      <w:r>
        <w:rPr>
          <w:rFonts w:hint="eastAsia" w:ascii="楷体_GB2312" w:hAnsi="楷体_GB2312" w:eastAsia="楷体_GB2312" w:cs="楷体_GB2312"/>
          <w:b w:val="0"/>
          <w:bCs w:val="0"/>
          <w:lang w:eastAsia="zh-CN"/>
        </w:rPr>
        <w:t>（一）服务对象</w:t>
      </w:r>
    </w:p>
    <w:p w14:paraId="12AC03C7">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广东省交通运输厅综合运输业务协同平台道路运输监管系统。</w:t>
      </w:r>
    </w:p>
    <w:p w14:paraId="751D5C98">
      <w:pPr>
        <w:pStyle w:val="6"/>
        <w:pageBreakBefore w:val="0"/>
        <w:kinsoku/>
        <w:wordWrap/>
        <w:overflowPunct/>
        <w:topLinePunct w:val="0"/>
        <w:autoSpaceDE/>
        <w:autoSpaceDN/>
        <w:bidi w:val="0"/>
        <w:adjustRightInd/>
        <w:spacing w:line="240" w:lineRule="auto"/>
        <w:jc w:val="left"/>
        <w:textAlignment w:val="auto"/>
        <w:rPr>
          <w:rFonts w:hint="eastAsia" w:ascii="楷体_GB2312" w:hAnsi="楷体_GB2312" w:eastAsia="楷体_GB2312" w:cs="楷体_GB2312"/>
          <w:b w:val="0"/>
          <w:bCs w:val="0"/>
          <w:lang w:eastAsia="zh-CN"/>
        </w:rPr>
      </w:pPr>
      <w:r>
        <w:rPr>
          <w:rFonts w:hint="eastAsia" w:ascii="楷体_GB2312" w:hAnsi="楷体_GB2312" w:eastAsia="楷体_GB2312" w:cs="楷体_GB2312"/>
          <w:b w:val="0"/>
          <w:bCs w:val="0"/>
          <w:lang w:eastAsia="zh-CN"/>
        </w:rPr>
        <w:t>（二）服务目的</w:t>
      </w:r>
    </w:p>
    <w:p w14:paraId="79DD8C5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提供安全应急演练服务，满足交通厅的网络安全运营服务需求，在“粤盾”攻防演练过程中提供支撑。</w:t>
      </w:r>
    </w:p>
    <w:p w14:paraId="6027338E">
      <w:pPr>
        <w:pStyle w:val="6"/>
        <w:pageBreakBefore w:val="0"/>
        <w:kinsoku/>
        <w:wordWrap/>
        <w:overflowPunct/>
        <w:topLinePunct w:val="0"/>
        <w:autoSpaceDE/>
        <w:autoSpaceDN/>
        <w:bidi w:val="0"/>
        <w:adjustRightInd/>
        <w:spacing w:line="240" w:lineRule="auto"/>
        <w:jc w:val="left"/>
        <w:textAlignment w:val="auto"/>
        <w:rPr>
          <w:rFonts w:hint="eastAsia" w:ascii="楷体_GB2312" w:hAnsi="楷体_GB2312" w:eastAsia="楷体_GB2312" w:cs="楷体_GB2312"/>
          <w:b w:val="0"/>
          <w:bCs w:val="0"/>
          <w:lang w:eastAsia="zh-CN"/>
        </w:rPr>
      </w:pPr>
      <w:r>
        <w:rPr>
          <w:rFonts w:hint="eastAsia" w:ascii="楷体_GB2312" w:hAnsi="楷体_GB2312" w:eastAsia="楷体_GB2312" w:cs="楷体_GB2312"/>
          <w:b w:val="0"/>
          <w:bCs w:val="0"/>
          <w:lang w:eastAsia="zh-CN"/>
        </w:rPr>
        <w:t>（三）应急保障及演练服务</w:t>
      </w:r>
    </w:p>
    <w:p w14:paraId="3F7022B1">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1.应急预案开发与完善服务</w:t>
      </w:r>
    </w:p>
    <w:p w14:paraId="513A20A5">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1.1</w:t>
      </w:r>
      <w:r>
        <w:rPr>
          <w:rFonts w:hint="eastAsia" w:asciiTheme="minorEastAsia" w:hAnsiTheme="minorEastAsia" w:eastAsiaTheme="minorEastAsia" w:cstheme="minorEastAsia"/>
          <w:b w:val="0"/>
          <w:bCs w:val="0"/>
          <w:sz w:val="21"/>
          <w:szCs w:val="21"/>
        </w:rPr>
        <w:t>服务内容</w:t>
      </w:r>
    </w:p>
    <w:p w14:paraId="1E4EA8C7">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根据国家标准、结合综合运输处的信息系统需要，持续进行总体应急预案编制和完善工作。同时针对各具体场景进行专项预案编制工作。信息系统的运转离不开IT设备的可靠运行，在业务影响分析服务中识别出了支撑业务运作所需的IT资源有哪些，因此需要针对关键业务所需的所有IT设备，都将为之编制应急恢复预案，用于这些关键IT设备发生故障或失效时能够快速的恢复正常运行。应急预案编制范围与数量由三部分内容组成：</w:t>
      </w:r>
    </w:p>
    <w:p w14:paraId="5A058296">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（1）根据风险分析服务所识别出的重大风险，设计能有效应对的应急预案。这部分应急预案属于事件导向数量目前难以确定，以满足重大风险必须有应急预案为原则；</w:t>
      </w:r>
    </w:p>
    <w:p w14:paraId="7D21D1B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（2）根据通用或标准事件类别，将结合信息系统实际需要，设计针对这些事件类别的应急预案；</w:t>
      </w:r>
    </w:p>
    <w:p w14:paraId="5DDAD704">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（3）所有在业务影响分析服务中识别出的支撑重要业务所需的关键IT设备，都将为之编制应急恢复预案。这部分应急预案属于设备导向，以满足关键设备必须有应急恢复预案为原则。</w:t>
      </w:r>
    </w:p>
    <w:p w14:paraId="165C7A20">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应急预案的编制将从两个维度来展开：</w:t>
      </w:r>
    </w:p>
    <w:p w14:paraId="10C1DBC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一个维度是从信息系统所面临风险从而可能发生的事件角度来编制相应的应急预案，这里的应急预案的也要考虑该事件所影响的信息系统范围，但由于事件发生的不确定性，更多的是侧重于事件处置流程的确定；</w:t>
      </w:r>
    </w:p>
    <w:p w14:paraId="35B837C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另一个维度是从设备运行所面临的故障或性能降级角度来编制相应的应急恢复预案，这里的应急恢复预案较少考虑导致设备故障的原因，更多的考虑设备恢复的时间要求以及相应的应急资源情况。</w:t>
      </w:r>
    </w:p>
    <w:p w14:paraId="3643C5E2">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1.2</w:t>
      </w:r>
      <w:r>
        <w:rPr>
          <w:rFonts w:hint="eastAsia" w:asciiTheme="minorEastAsia" w:hAnsiTheme="minorEastAsia" w:eastAsiaTheme="minorEastAsia" w:cstheme="minorEastAsia"/>
          <w:b w:val="0"/>
          <w:bCs w:val="0"/>
          <w:sz w:val="21"/>
          <w:szCs w:val="21"/>
        </w:rPr>
        <w:t>服务频率</w:t>
      </w:r>
    </w:p>
    <w:p w14:paraId="0B30D8B3">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服务频率：服务期内持续完善总体应急预案，针对具体场景编制1个专项应急预案。</w:t>
      </w:r>
    </w:p>
    <w:p w14:paraId="1447F244">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1.3</w:t>
      </w:r>
      <w:r>
        <w:rPr>
          <w:rFonts w:hint="eastAsia" w:asciiTheme="minorEastAsia" w:hAnsiTheme="minorEastAsia" w:eastAsiaTheme="minorEastAsia" w:cstheme="minorEastAsia"/>
          <w:b w:val="0"/>
          <w:bCs w:val="0"/>
          <w:sz w:val="21"/>
          <w:szCs w:val="21"/>
        </w:rPr>
        <w:t>服务成果</w:t>
      </w:r>
    </w:p>
    <w:p w14:paraId="07C82872">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《应急总体预案》</w:t>
      </w:r>
    </w:p>
    <w:p w14:paraId="5002CF8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《指定场景专项预案》</w:t>
      </w:r>
    </w:p>
    <w:p w14:paraId="28F102B4">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2.应急演练服务</w:t>
      </w:r>
    </w:p>
    <w:p w14:paraId="15660FB2">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2.1</w:t>
      </w:r>
      <w:r>
        <w:rPr>
          <w:rFonts w:hint="eastAsia" w:asciiTheme="minorEastAsia" w:hAnsiTheme="minorEastAsia" w:eastAsiaTheme="minorEastAsia" w:cstheme="minorEastAsia"/>
          <w:b w:val="0"/>
          <w:bCs w:val="0"/>
          <w:sz w:val="21"/>
          <w:szCs w:val="21"/>
        </w:rPr>
        <w:t>服务内容</w:t>
      </w:r>
    </w:p>
    <w:p w14:paraId="3248A55B">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为保证应急响应措施有效落实，根据综合运输服务子系统网络架构和信息系统应用情况结合实际情况制定信息安全应急演练方案，然后根据应急演练方案在服务期内开展一次应急演练。通过不断的应急演练，不断完善应急响应流程及机制，检验重要信息系统应急管理有效性，提高各级人员的应急意识及应急处理实战能力，建立与上级主管部门应急协调机制。演练内容包括运行环境安全、网络结构安全、设备运行安全、系统可用性、外界风险因素等各方面，达到全面演练和专项演练相结合。演练形式以模拟实战演练为主，需制定演练方案和演练计划，按照演练方案和计划进行部署，具体要求如下：</w:t>
      </w:r>
    </w:p>
    <w:p w14:paraId="525F059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（1）制定详细的演练方案，明确演练目标、参加演练的信息系统、涉及的形式、层次和范围，设定灾难情况、演练流程、操作内容、应急资源、进度安排、演练的风险及其应对措施。</w:t>
      </w:r>
    </w:p>
    <w:p w14:paraId="372DAF1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（2）配备专职人员负责应急演练工作，组建应急团队，组建应急演练通讯、指挥体系，制定应急响应流程，制定应急恢复策略。</w:t>
      </w:r>
    </w:p>
    <w:p w14:paraId="38C3493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（3）演练前做好各项准备工作，组建应急团队、指挥通讯体系，培训参演人员，确保组织、人员、资源到位。演练过程中要做好事前和事后对内、对外的联系和通知工作。</w:t>
      </w:r>
    </w:p>
    <w:p w14:paraId="67E1312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 xml:space="preserve">（4）加强对演练工作的风险管理，审慎开展应急演练，严格控制应急演练引起的信息系统变更风险，避免因演练导致服务中断。演练前应对应急预案进行认真审核和修改完善，确保应急预案内容切实可行；应认真评估演练本身可能带来的风险和对业务的影响，制定完善的保障措施和应急回退方案。 </w:t>
      </w:r>
    </w:p>
    <w:p w14:paraId="18D03E57">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（5）应急演练完成后应对演练进行评估，编写急演练总结报，并根据演练评估结论对应急预案进行维护和更新。</w:t>
      </w:r>
    </w:p>
    <w:p w14:paraId="449175AE">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2.2</w:t>
      </w:r>
      <w:r>
        <w:rPr>
          <w:rFonts w:hint="eastAsia" w:asciiTheme="minorEastAsia" w:hAnsiTheme="minorEastAsia" w:eastAsiaTheme="minorEastAsia" w:cstheme="minorEastAsia"/>
          <w:b w:val="0"/>
          <w:bCs w:val="0"/>
          <w:sz w:val="21"/>
          <w:szCs w:val="21"/>
        </w:rPr>
        <w:t>服务频率</w:t>
      </w:r>
    </w:p>
    <w:p w14:paraId="7B847DE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服务期内提供一次实战演练。</w:t>
      </w:r>
    </w:p>
    <w:p w14:paraId="6FBD8022">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2.3</w:t>
      </w:r>
      <w:r>
        <w:rPr>
          <w:rFonts w:hint="eastAsia" w:asciiTheme="minorEastAsia" w:hAnsiTheme="minorEastAsia" w:eastAsiaTheme="minorEastAsia" w:cstheme="minorEastAsia"/>
          <w:b w:val="0"/>
          <w:bCs w:val="0"/>
          <w:sz w:val="21"/>
          <w:szCs w:val="21"/>
        </w:rPr>
        <w:t>服务成果</w:t>
      </w:r>
    </w:p>
    <w:p w14:paraId="0EB6B0A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《应急演练脚本》</w:t>
      </w:r>
    </w:p>
    <w:p w14:paraId="1B1FB191">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《应急演练讲解PPT》</w:t>
      </w:r>
    </w:p>
    <w:p w14:paraId="1C904AE5">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《应急演练总结报告》</w:t>
      </w:r>
    </w:p>
    <w:p w14:paraId="61E79DD7">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32"/>
          <w:szCs w:val="32"/>
          <w:lang w:val="en-US" w:eastAsia="zh-CN"/>
        </w:rPr>
      </w:pPr>
      <w:r>
        <w:rPr>
          <w:rFonts w:hint="eastAsia" w:asciiTheme="minorEastAsia" w:hAnsiTheme="minorEastAsia" w:eastAsiaTheme="minorEastAsia" w:cstheme="minorEastAsia"/>
          <w:b w:val="0"/>
          <w:bCs w:val="0"/>
          <w:sz w:val="32"/>
          <w:szCs w:val="32"/>
          <w:lang w:val="en-US" w:eastAsia="zh-CN"/>
        </w:rPr>
        <w:t>3.应急响应保障服务</w:t>
      </w:r>
    </w:p>
    <w:p w14:paraId="1064FF29">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3.1</w:t>
      </w:r>
      <w:r>
        <w:rPr>
          <w:rFonts w:hint="eastAsia" w:asciiTheme="minorEastAsia" w:hAnsiTheme="minorEastAsia" w:eastAsiaTheme="minorEastAsia" w:cstheme="minorEastAsia"/>
          <w:b w:val="0"/>
          <w:bCs w:val="0"/>
          <w:sz w:val="21"/>
          <w:szCs w:val="21"/>
        </w:rPr>
        <w:t>服务内容</w:t>
      </w:r>
    </w:p>
    <w:p w14:paraId="33A9A9C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当信息系统、网络设备系统发生业务中断、网络瘫痪、大规模病毒爆发、主机异常、数据丢失等重新安全事故时，需要信息安全服务商提供应急响应服务，快速排查故障，分析事故源由，制定安全应对建议，恢复网络、信息系统、数据运行。</w:t>
      </w:r>
      <w:bookmarkStart w:id="0" w:name="OLE_LINK46"/>
      <w:r>
        <w:rPr>
          <w:rFonts w:hint="eastAsia" w:asciiTheme="minorEastAsia" w:hAnsiTheme="minorEastAsia" w:eastAsiaTheme="minorEastAsia" w:cstheme="minorEastAsia"/>
          <w:b w:val="0"/>
          <w:bCs w:val="0"/>
          <w:sz w:val="21"/>
          <w:szCs w:val="21"/>
          <w:lang w:val="en-US" w:eastAsia="zh-CN"/>
        </w:rPr>
        <w:t>应急响应服务方式为远程响应和现场服务，利用相关的应急响应安全策略生成工具，对突发安全事件提供7*24小时的电话技术支持，在工作时间内半小时响应，2小时内到达现场，非工作时间内4小时到达现场。</w:t>
      </w:r>
      <w:bookmarkEnd w:id="0"/>
      <w:r>
        <w:rPr>
          <w:rFonts w:hint="eastAsia" w:asciiTheme="minorEastAsia" w:hAnsiTheme="minorEastAsia" w:eastAsiaTheme="minorEastAsia" w:cstheme="minorEastAsia"/>
          <w:b w:val="0"/>
          <w:bCs w:val="0"/>
          <w:sz w:val="21"/>
          <w:szCs w:val="21"/>
          <w:lang w:val="en-US" w:eastAsia="zh-CN"/>
        </w:rPr>
        <w:t>在处理紧急事件时，通常先尝试通过远程接入的方式定位并解决问题，如果条件不允许或不能解决问题，将尽可能快的赶赴事件现场进行处理。协助快速解决问题，保证系统的正常稳定运行。现场应急服务为2次，远程应急技术支持服务为服务期内提供电话和远程操作技术支持服务。应急服务内容为：</w:t>
      </w:r>
    </w:p>
    <w:p w14:paraId="71F163A8">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（1）系统故障检测</w:t>
      </w:r>
    </w:p>
    <w:p w14:paraId="24EBC8C5">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（2）系统故障排除</w:t>
      </w:r>
    </w:p>
    <w:p w14:paraId="5A8F1912">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（3）隔离关键数据</w:t>
      </w:r>
    </w:p>
    <w:p w14:paraId="02C7AF8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（4）攻击手段分析，提供应急方案或工具软件</w:t>
      </w:r>
    </w:p>
    <w:p w14:paraId="0C7109B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（5）定位攻击来源，提出安全建议</w:t>
      </w:r>
    </w:p>
    <w:p w14:paraId="568C6DB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（6）数据及网络业务恢复</w:t>
      </w:r>
    </w:p>
    <w:p w14:paraId="2C638E06">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（7）系统调试、恢复</w:t>
      </w:r>
    </w:p>
    <w:p w14:paraId="7512CA5B">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3.2</w:t>
      </w:r>
      <w:r>
        <w:rPr>
          <w:rFonts w:hint="eastAsia" w:asciiTheme="minorEastAsia" w:hAnsiTheme="minorEastAsia" w:eastAsiaTheme="minorEastAsia" w:cstheme="minorEastAsia"/>
          <w:b w:val="0"/>
          <w:bCs w:val="0"/>
          <w:sz w:val="21"/>
          <w:szCs w:val="21"/>
        </w:rPr>
        <w:t>服务频率</w:t>
      </w:r>
    </w:p>
    <w:p w14:paraId="45DB03C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服务期内不超过2次。</w:t>
      </w:r>
    </w:p>
    <w:p w14:paraId="71C66B10">
      <w:pPr>
        <w:pStyle w:val="8"/>
        <w:pageBreakBefore w:val="0"/>
        <w:numPr>
          <w:ilvl w:val="5"/>
          <w:numId w:val="0"/>
        </w:numPr>
        <w:kinsoku/>
        <w:wordWrap/>
        <w:overflowPunct/>
        <w:topLinePunct w:val="0"/>
        <w:autoSpaceDE/>
        <w:autoSpaceDN/>
        <w:bidi w:val="0"/>
        <w:adjustRightInd/>
        <w:spacing w:line="240" w:lineRule="auto"/>
        <w:ind w:left="565" w:leftChars="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lang w:val="en-US" w:eastAsia="zh-CN"/>
        </w:rPr>
        <w:t>3.3</w:t>
      </w:r>
      <w:r>
        <w:rPr>
          <w:rFonts w:hint="eastAsia" w:asciiTheme="minorEastAsia" w:hAnsiTheme="minorEastAsia" w:eastAsiaTheme="minorEastAsia" w:cstheme="minorEastAsia"/>
          <w:b w:val="0"/>
          <w:bCs w:val="0"/>
          <w:sz w:val="21"/>
          <w:szCs w:val="21"/>
        </w:rPr>
        <w:t>服务成果</w:t>
      </w:r>
    </w:p>
    <w:p w14:paraId="6DE8CF4C">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《应急响应处置报告》</w:t>
      </w:r>
    </w:p>
    <w:p w14:paraId="4C6338C0">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4.服务人员要求</w:t>
      </w:r>
    </w:p>
    <w:p w14:paraId="126EF6A6">
      <w:pPr>
        <w:pageBreakBefore w:val="0"/>
        <w:numPr>
          <w:ilvl w:val="0"/>
          <w:numId w:val="0"/>
        </w:numPr>
        <w:kinsoku/>
        <w:wordWrap/>
        <w:overflowPunct/>
        <w:topLinePunct w:val="0"/>
        <w:autoSpaceDE/>
        <w:autoSpaceDN/>
        <w:bidi w:val="0"/>
        <w:adjustRightInd/>
        <w:spacing w:line="240" w:lineRule="auto"/>
        <w:ind w:firstLine="42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投入的服务人员含1名中级人员（含中级及以上人员）。</w:t>
      </w:r>
    </w:p>
    <w:p w14:paraId="628AC581">
      <w:pPr>
        <w:pageBreakBefore w:val="0"/>
        <w:kinsoku/>
        <w:wordWrap/>
        <w:overflowPunct/>
        <w:topLinePunct w:val="0"/>
        <w:autoSpaceDE/>
        <w:autoSpaceDN/>
        <w:bidi w:val="0"/>
        <w:adjustRightInd/>
        <w:spacing w:line="240" w:lineRule="auto"/>
        <w:jc w:val="left"/>
        <w:textAlignment w:val="auto"/>
        <w:rPr>
          <w:rFonts w:hint="eastAsia" w:asciiTheme="minorEastAsia" w:hAnsiTheme="minorEastAsia" w:eastAsiaTheme="minorEastAsia" w:cstheme="minorEastAsia"/>
          <w:b w:val="0"/>
          <w:bCs w:val="0"/>
          <w:lang w:eastAsia="zh-CN"/>
        </w:rPr>
      </w:pPr>
    </w:p>
    <w:p w14:paraId="24EBE2A0">
      <w:pPr>
        <w:pStyle w:val="6"/>
        <w:pageBreakBefore w:val="0"/>
        <w:kinsoku/>
        <w:wordWrap/>
        <w:overflowPunct/>
        <w:topLinePunct w:val="0"/>
        <w:autoSpaceDE/>
        <w:autoSpaceDN/>
        <w:bidi w:val="0"/>
        <w:adjustRightInd/>
        <w:spacing w:line="240" w:lineRule="auto"/>
        <w:jc w:val="left"/>
        <w:textAlignment w:val="auto"/>
        <w:rPr>
          <w:rFonts w:hint="eastAsia" w:ascii="楷体_GB2312" w:hAnsi="楷体_GB2312" w:eastAsia="楷体_GB2312" w:cs="楷体_GB2312"/>
          <w:b w:val="0"/>
          <w:bCs w:val="0"/>
          <w:lang w:eastAsia="zh-CN"/>
        </w:rPr>
      </w:pPr>
      <w:r>
        <w:rPr>
          <w:rFonts w:hint="eastAsia" w:ascii="楷体_GB2312" w:hAnsi="楷体_GB2312" w:eastAsia="楷体_GB2312" w:cs="楷体_GB2312"/>
          <w:b w:val="0"/>
          <w:bCs w:val="0"/>
          <w:lang w:eastAsia="zh-CN"/>
        </w:rPr>
        <w:t>（四）网络安全攻防演练服务</w:t>
      </w:r>
    </w:p>
    <w:p w14:paraId="61C9B79C">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1.服务内容</w:t>
      </w:r>
    </w:p>
    <w:p w14:paraId="2C65B87E">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在省监管部门举行全省攻防演练活动时，在指定环境中进行安全防守的演练活动，根据道路运输监管系统实际情况调研并制订安全防守方案，从安全技术、管理和运营等多个维度着手，发现安全防御能力的问题和缺陷，防守方使用工具和安全设备进行观察，监控并掌握攻击方进行防守，对攻击点进行紧急加固和处置，防疫各种风险漏洞，形成《防守成果报告》和《防守总结报告》，通过日常实战性攻防演练，进一步查找网络安全风险点，提升中心整个网络的安全性和可靠性。</w:t>
      </w:r>
    </w:p>
    <w:p w14:paraId="7E40700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b w:val="0"/>
          <w:bCs w:val="0"/>
          <w:sz w:val="21"/>
          <w:szCs w:val="21"/>
          <w:lang w:val="en-US" w:eastAsia="zh-CN"/>
        </w:rPr>
        <w:t>本服务需与道路运输监管系统运维单位共同协作完成。</w:t>
      </w:r>
    </w:p>
    <w:p w14:paraId="56FD987A">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2.服务频率</w:t>
      </w:r>
    </w:p>
    <w:p w14:paraId="4FE54D89">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服务频率：服务期内按需要响应，服务次数不多于2次。</w:t>
      </w:r>
    </w:p>
    <w:p w14:paraId="65131A6B">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3.服务成果</w:t>
      </w:r>
    </w:p>
    <w:p w14:paraId="1B478575">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《安全演练方案》</w:t>
      </w:r>
    </w:p>
    <w:p w14:paraId="16ABD9EF">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《安全演练总结报告》</w:t>
      </w:r>
    </w:p>
    <w:p w14:paraId="34BE9805">
      <w:pPr>
        <w:pStyle w:val="7"/>
        <w:pageBreakBefore w:val="0"/>
        <w:numPr>
          <w:ilvl w:val="4"/>
          <w:numId w:val="0"/>
        </w:numPr>
        <w:kinsoku/>
        <w:wordWrap/>
        <w:overflowPunct/>
        <w:topLinePunct w:val="0"/>
        <w:autoSpaceDE/>
        <w:autoSpaceDN/>
        <w:bidi w:val="0"/>
        <w:adjustRightInd/>
        <w:spacing w:line="240" w:lineRule="auto"/>
        <w:ind w:leftChars="0"/>
        <w:jc w:val="left"/>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4.服务人员要求</w:t>
      </w:r>
    </w:p>
    <w:p w14:paraId="7D9283AA">
      <w:pPr>
        <w:keepNext w:val="0"/>
        <w:keepLines w:val="0"/>
        <w:pageBreakBefore w:val="0"/>
        <w:widowControl w:val="0"/>
        <w:numPr>
          <w:ilvl w:val="0"/>
          <w:numId w:val="0"/>
        </w:numPr>
        <w:tabs>
          <w:tab w:val="left" w:pos="1839"/>
        </w:tabs>
        <w:kinsoku/>
        <w:wordWrap/>
        <w:overflowPunct/>
        <w:topLinePunct w:val="0"/>
        <w:autoSpaceDE/>
        <w:autoSpaceDN/>
        <w:bidi w:val="0"/>
        <w:adjustRightInd/>
        <w:snapToGrid/>
        <w:spacing w:line="240" w:lineRule="auto"/>
        <w:ind w:firstLine="420"/>
        <w:jc w:val="left"/>
        <w:textAlignment w:val="auto"/>
        <w:rPr>
          <w:rFonts w:hint="eastAsia" w:asciiTheme="minorEastAsia" w:hAnsiTheme="minorEastAsia" w:eastAsiaTheme="minorEastAsia" w:cstheme="minorEastAsia"/>
          <w:b w:val="0"/>
          <w:bCs w:val="0"/>
          <w:color w:val="000000"/>
          <w:kern w:val="0"/>
          <w:sz w:val="21"/>
          <w:szCs w:val="21"/>
          <w:lang w:val="en-US" w:eastAsia="zh-CN" w:bidi="ar"/>
        </w:rPr>
      </w:pPr>
      <w:r>
        <w:rPr>
          <w:rFonts w:hint="eastAsia" w:asciiTheme="minorEastAsia" w:hAnsiTheme="minorEastAsia" w:eastAsiaTheme="minorEastAsia" w:cstheme="minorEastAsia"/>
          <w:b w:val="0"/>
          <w:bCs w:val="0"/>
          <w:sz w:val="21"/>
          <w:szCs w:val="21"/>
          <w:lang w:val="en-US" w:eastAsia="zh-CN"/>
        </w:rPr>
        <w:t>投入的服务人员含1名高级人员。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60F5F5-A663-4840-9D59-23F874052C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ABA700FF-2F1B-4F2B-8B11-085CA30E1442}"/>
  </w:font>
  <w:font w:name="楷体_GB2312">
    <w:altName w:val="楷体"/>
    <w:panose1 w:val="02010609030101010101"/>
    <w:charset w:val="86"/>
    <w:family w:val="auto"/>
    <w:pitch w:val="default"/>
    <w:sig w:usb0="00000000" w:usb1="00000000" w:usb2="00000000" w:usb3="00000000" w:csb0="00040000" w:csb1="00000000"/>
    <w:embedRegular r:id="rId3" w:fontKey="{E86D1F47-7B5B-488C-B273-F3B0DBB8F47B}"/>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A23C27"/>
    <w:multiLevelType w:val="multilevel"/>
    <w:tmpl w:val="26A23C27"/>
    <w:lvl w:ilvl="0" w:tentative="0">
      <w:start w:val="1"/>
      <w:numFmt w:val="chineseCountingThousand"/>
      <w:suff w:val="space"/>
      <w:lvlText w:val="第%1章"/>
      <w:lvlJc w:val="left"/>
      <w:pPr>
        <w:ind w:left="0" w:firstLine="0"/>
      </w:pPr>
      <w:rPr>
        <w:rFonts w:hint="default" w:ascii="Times New Roman" w:hAnsi="Times New Roman" w:eastAsia="黑体" w:cs="宋体"/>
        <w:sz w:val="44"/>
        <w:u w:val="none" w:color="auto"/>
        <w:lang w:val="en-US"/>
      </w:rPr>
    </w:lvl>
    <w:lvl w:ilvl="1" w:tentative="0">
      <w:start w:val="1"/>
      <w:numFmt w:val="decimal"/>
      <w:isLgl/>
      <w:suff w:val="space"/>
      <w:lvlText w:val="%1.%2"/>
      <w:lvlJc w:val="left"/>
      <w:pPr>
        <w:ind w:left="113" w:firstLine="0"/>
      </w:pPr>
      <w:rPr>
        <w:rFonts w:hint="default" w:ascii="Times New Roman" w:hAnsi="Times New Roman" w:eastAsia="黑体" w:cs="Times New Roman"/>
        <w:sz w:val="32"/>
        <w:u w:val="none" w:color="auto"/>
      </w:rPr>
    </w:lvl>
    <w:lvl w:ilvl="2" w:tentative="0">
      <w:start w:val="1"/>
      <w:numFmt w:val="decimal"/>
      <w:isLgl/>
      <w:suff w:val="space"/>
      <w:lvlText w:val="%1.%2.%3"/>
      <w:lvlJc w:val="left"/>
      <w:pPr>
        <w:ind w:left="226" w:firstLine="0"/>
      </w:pPr>
      <w:rPr>
        <w:rFonts w:hint="default" w:ascii="Times New Roman" w:hAnsi="Times New Roman" w:eastAsia="黑体" w:cs="Arial"/>
        <w:sz w:val="30"/>
        <w:u w:val="none" w:color="auto"/>
      </w:rPr>
    </w:lvl>
    <w:lvl w:ilvl="3" w:tentative="0">
      <w:start w:val="1"/>
      <w:numFmt w:val="decimal"/>
      <w:isLgl/>
      <w:suff w:val="space"/>
      <w:lvlText w:val="%1.%2.%3.%4"/>
      <w:lvlJc w:val="left"/>
      <w:pPr>
        <w:ind w:left="339" w:firstLine="0"/>
      </w:pPr>
      <w:rPr>
        <w:rFonts w:hint="default" w:ascii="Times New Roman" w:hAnsi="Times New Roman" w:eastAsia="黑体" w:cs="Arial"/>
        <w:sz w:val="28"/>
        <w:u w:val="none" w:color="auto"/>
      </w:rPr>
    </w:lvl>
    <w:lvl w:ilvl="4" w:tentative="0">
      <w:start w:val="1"/>
      <w:numFmt w:val="decimal"/>
      <w:isLgl/>
      <w:suff w:val="space"/>
      <w:lvlText w:val="%1.%2.%3.%4.%5"/>
      <w:lvlJc w:val="left"/>
      <w:pPr>
        <w:ind w:left="452" w:firstLine="0"/>
      </w:pPr>
      <w:rPr>
        <w:rFonts w:hint="default" w:ascii="Times New Roman" w:hAnsi="Times New Roman" w:eastAsia="黑体" w:cs="Arial"/>
        <w:sz w:val="28"/>
        <w:u w:val="none" w:color="auto"/>
      </w:rPr>
    </w:lvl>
    <w:lvl w:ilvl="5" w:tentative="0">
      <w:start w:val="1"/>
      <w:numFmt w:val="decimal"/>
      <w:pStyle w:val="8"/>
      <w:isLgl/>
      <w:suff w:val="space"/>
      <w:lvlText w:val="%1.%2.%3.%4.%5.%6"/>
      <w:lvlJc w:val="left"/>
      <w:pPr>
        <w:ind w:left="565" w:firstLine="0"/>
      </w:pPr>
      <w:rPr>
        <w:rFonts w:hint="default" w:ascii="Times New Roman" w:hAnsi="Times New Roman" w:eastAsia="黑体" w:cs="Arial"/>
        <w:sz w:val="28"/>
        <w:u w:val="none" w:color="auto"/>
      </w:rPr>
    </w:lvl>
    <w:lvl w:ilvl="6" w:tentative="0">
      <w:start w:val="1"/>
      <w:numFmt w:val="decimal"/>
      <w:pStyle w:val="9"/>
      <w:isLgl/>
      <w:suff w:val="space"/>
      <w:lvlText w:val="%1.%2.%3.%4.%5.%6.%7"/>
      <w:lvlJc w:val="left"/>
      <w:pPr>
        <w:ind w:left="678" w:firstLine="0"/>
      </w:pPr>
      <w:rPr>
        <w:rFonts w:hint="default" w:ascii="Times New Roman" w:hAnsi="Times New Roman" w:eastAsia="黑体" w:cs="Arial"/>
        <w:sz w:val="28"/>
        <w:u w:val="none" w:color="auto"/>
      </w:rPr>
    </w:lvl>
    <w:lvl w:ilvl="7" w:tentative="0">
      <w:start w:val="1"/>
      <w:numFmt w:val="decimal"/>
      <w:pStyle w:val="10"/>
      <w:isLgl/>
      <w:suff w:val="space"/>
      <w:lvlText w:val="%1.%2.%3.%4.%5.%6.%7.%8"/>
      <w:lvlJc w:val="left"/>
      <w:pPr>
        <w:ind w:left="791" w:firstLine="0"/>
      </w:pPr>
      <w:rPr>
        <w:rFonts w:hint="default" w:ascii="Times New Roman" w:hAnsi="Times New Roman" w:eastAsia="黑体" w:cs="Arial"/>
        <w:sz w:val="28"/>
        <w:u w:val="none" w:color="auto"/>
      </w:rPr>
    </w:lvl>
    <w:lvl w:ilvl="8" w:tentative="0">
      <w:start w:val="1"/>
      <w:numFmt w:val="decimal"/>
      <w:isLgl/>
      <w:suff w:val="space"/>
      <w:lvlText w:val="%1.%2.%3.%4.%5.%6.%7.%8.%9"/>
      <w:lvlJc w:val="left"/>
      <w:pPr>
        <w:ind w:left="904" w:firstLine="0"/>
      </w:pPr>
      <w:rPr>
        <w:rFonts w:hint="default" w:ascii="Times New Roman" w:hAnsi="Times New Roman" w:eastAsia="宋体" w:cs="Arial"/>
        <w:b/>
        <w:sz w:val="28"/>
        <w:u w:val="none" w:color="auto"/>
      </w:rPr>
    </w:lvl>
  </w:abstractNum>
  <w:abstractNum w:abstractNumId="1">
    <w:nsid w:val="6B6ACF84"/>
    <w:multiLevelType w:val="multilevel"/>
    <w:tmpl w:val="6B6ACF84"/>
    <w:lvl w:ilvl="0" w:tentative="0">
      <w:start w:val="1"/>
      <w:numFmt w:val="chineseCounting"/>
      <w:lvlText w:val="第%1章"/>
      <w:lvlJc w:val="left"/>
      <w:pPr>
        <w:ind w:left="432" w:hanging="432"/>
      </w:pPr>
      <w:rPr>
        <w:rFonts w:hint="eastAsia" w:ascii="宋体" w:hAnsi="宋体" w:eastAsia="黑体" w:cs="宋体"/>
        <w:sz w:val="44"/>
        <w:u w:val="none" w:color="auto"/>
      </w:rPr>
    </w:lvl>
    <w:lvl w:ilvl="1" w:tentative="0">
      <w:start w:val="1"/>
      <w:numFmt w:val="decimal"/>
      <w:pStyle w:val="3"/>
      <w:isLgl/>
      <w:lvlText w:val="%1.%2"/>
      <w:lvlJc w:val="left"/>
      <w:pPr>
        <w:ind w:left="576" w:hanging="576"/>
      </w:pPr>
      <w:rPr>
        <w:rFonts w:hint="default" w:ascii="Times New Roman" w:hAnsi="Times New Roman" w:eastAsia="黑体" w:cs="Times New Roman"/>
        <w:sz w:val="32"/>
        <w:u w:val="none" w:color="auto"/>
      </w:rPr>
    </w:lvl>
    <w:lvl w:ilvl="2" w:tentative="0">
      <w:start w:val="1"/>
      <w:numFmt w:val="decimal"/>
      <w:isLgl/>
      <w:lvlText w:val="%1.%2.%3"/>
      <w:lvlJc w:val="left"/>
      <w:pPr>
        <w:ind w:left="720" w:hanging="720"/>
      </w:pPr>
      <w:rPr>
        <w:rFonts w:hint="default" w:ascii="Times New Roman" w:hAnsi="Times New Roman" w:eastAsia="黑体" w:cs="Times New Roman"/>
        <w:sz w:val="30"/>
        <w:u w:val="none" w:color="auto"/>
      </w:rPr>
    </w:lvl>
    <w:lvl w:ilvl="3" w:tentative="0">
      <w:start w:val="1"/>
      <w:numFmt w:val="decimal"/>
      <w:isLgl/>
      <w:lvlText w:val="%1.%2.%3.%4"/>
      <w:lvlJc w:val="left"/>
      <w:pPr>
        <w:ind w:left="864" w:hanging="864"/>
      </w:pPr>
      <w:rPr>
        <w:rFonts w:hint="default" w:ascii="Times New Roman" w:hAnsi="Times New Roman" w:eastAsia="黑体" w:cs="Times New Roman"/>
        <w:sz w:val="28"/>
        <w:u w:val="none" w:color="auto"/>
      </w:rPr>
    </w:lvl>
    <w:lvl w:ilvl="4" w:tentative="0">
      <w:start w:val="1"/>
      <w:numFmt w:val="decimal"/>
      <w:pStyle w:val="7"/>
      <w:isLgl/>
      <w:lvlText w:val="%1.%2.%3.%4.%5"/>
      <w:lvlJc w:val="left"/>
      <w:pPr>
        <w:ind w:left="1008" w:hanging="1008"/>
      </w:pPr>
      <w:rPr>
        <w:rFonts w:hint="eastAsia" w:ascii="Times New Roman" w:hAnsi="Times New Roman" w:eastAsia="黑体" w:cs="宋体"/>
        <w:sz w:val="24"/>
        <w:u w:val="none" w:color="auto"/>
      </w:rPr>
    </w:lvl>
    <w:lvl w:ilvl="5" w:tentative="0">
      <w:start w:val="1"/>
      <w:numFmt w:val="decimal"/>
      <w:isLgl/>
      <w:lvlText w:val="%1.%2.%3.%4.%5.%6"/>
      <w:lvlJc w:val="left"/>
      <w:pPr>
        <w:ind w:left="1152" w:hanging="1152"/>
      </w:pPr>
      <w:rPr>
        <w:rFonts w:hint="default"/>
        <w:u w:val="none" w:color="auto"/>
      </w:rPr>
    </w:lvl>
    <w:lvl w:ilvl="6" w:tentative="0">
      <w:start w:val="1"/>
      <w:numFmt w:val="decimal"/>
      <w:isLgl/>
      <w:lvlText w:val="%1.%2.%3.%4.%5.%6.%7"/>
      <w:lvlJc w:val="left"/>
      <w:pPr>
        <w:ind w:left="1296" w:hanging="1296"/>
      </w:pPr>
      <w:rPr>
        <w:rFonts w:hint="default"/>
        <w:u w:val="none" w:color="auto"/>
      </w:rPr>
    </w:lvl>
    <w:lvl w:ilvl="7" w:tentative="0">
      <w:start w:val="1"/>
      <w:numFmt w:val="decimal"/>
      <w:isLgl/>
      <w:lvlText w:val="%1.%2.%3.%4.%5.%6.%7.%8"/>
      <w:lvlJc w:val="left"/>
      <w:pPr>
        <w:ind w:left="1440" w:hanging="1440"/>
      </w:pPr>
      <w:rPr>
        <w:rFonts w:hint="default"/>
        <w:u w:val="none" w:color="auto"/>
      </w:rPr>
    </w:lvl>
    <w:lvl w:ilvl="8" w:tentative="0">
      <w:start w:val="1"/>
      <w:numFmt w:val="decimal"/>
      <w:isLgl/>
      <w:lvlText w:val="%1.%2.%3.%4.%5.%6.%7.%8.%9"/>
      <w:lvlJc w:val="left"/>
      <w:pPr>
        <w:ind w:left="1584" w:hanging="1584"/>
      </w:pPr>
      <w:rPr>
        <w:rFonts w:hint="default"/>
        <w:u w:val="none" w:color="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76F3FE5"/>
    <w:rsid w:val="0FFE8EBC"/>
    <w:rsid w:val="112F5CDA"/>
    <w:rsid w:val="137B6FBF"/>
    <w:rsid w:val="13CEF913"/>
    <w:rsid w:val="13FB73BB"/>
    <w:rsid w:val="14FF83E6"/>
    <w:rsid w:val="16B48A46"/>
    <w:rsid w:val="16FFD1C5"/>
    <w:rsid w:val="17FE720E"/>
    <w:rsid w:val="1BEC0901"/>
    <w:rsid w:val="1BFDDB5B"/>
    <w:rsid w:val="1EFF3D01"/>
    <w:rsid w:val="1F7ED044"/>
    <w:rsid w:val="1FDB861D"/>
    <w:rsid w:val="1FE7C9D0"/>
    <w:rsid w:val="21F39196"/>
    <w:rsid w:val="24CB3570"/>
    <w:rsid w:val="2ADB6D90"/>
    <w:rsid w:val="2B257CEA"/>
    <w:rsid w:val="2B2AF844"/>
    <w:rsid w:val="2EF05D62"/>
    <w:rsid w:val="2EFBC041"/>
    <w:rsid w:val="2FBFDFB1"/>
    <w:rsid w:val="2FDEA645"/>
    <w:rsid w:val="2FEC1EE4"/>
    <w:rsid w:val="2FFE64A4"/>
    <w:rsid w:val="317C583E"/>
    <w:rsid w:val="32BFB82D"/>
    <w:rsid w:val="32FF7E91"/>
    <w:rsid w:val="33B58E00"/>
    <w:rsid w:val="35C3199D"/>
    <w:rsid w:val="36BFA7A0"/>
    <w:rsid w:val="36FA4ACA"/>
    <w:rsid w:val="372FDCCD"/>
    <w:rsid w:val="377FD9F3"/>
    <w:rsid w:val="377FE77B"/>
    <w:rsid w:val="37BF35B2"/>
    <w:rsid w:val="37D99A71"/>
    <w:rsid w:val="37F6E27F"/>
    <w:rsid w:val="37F7F18C"/>
    <w:rsid w:val="37F9C69A"/>
    <w:rsid w:val="37FBA46E"/>
    <w:rsid w:val="37FF9F82"/>
    <w:rsid w:val="37FFF642"/>
    <w:rsid w:val="38BFA3C0"/>
    <w:rsid w:val="39DF03DD"/>
    <w:rsid w:val="39FD1C2A"/>
    <w:rsid w:val="3AFFDE3B"/>
    <w:rsid w:val="3B7FC010"/>
    <w:rsid w:val="3BCE3B0F"/>
    <w:rsid w:val="3D7B818B"/>
    <w:rsid w:val="3DF14B5D"/>
    <w:rsid w:val="3DF9F445"/>
    <w:rsid w:val="3DFB0EF4"/>
    <w:rsid w:val="3EEDA7B9"/>
    <w:rsid w:val="3EF78C5D"/>
    <w:rsid w:val="3EFDCA40"/>
    <w:rsid w:val="3EFF5101"/>
    <w:rsid w:val="3F324876"/>
    <w:rsid w:val="3F4FF0C1"/>
    <w:rsid w:val="3F73CAA8"/>
    <w:rsid w:val="3FB943E5"/>
    <w:rsid w:val="3FBEB4C3"/>
    <w:rsid w:val="3FBFA03F"/>
    <w:rsid w:val="3FD73C5C"/>
    <w:rsid w:val="3FEB2B90"/>
    <w:rsid w:val="3FEED722"/>
    <w:rsid w:val="3FEF1BEF"/>
    <w:rsid w:val="3FEF8E4C"/>
    <w:rsid w:val="3FF61488"/>
    <w:rsid w:val="3FFBB954"/>
    <w:rsid w:val="3FFD2B1C"/>
    <w:rsid w:val="3FFF0C42"/>
    <w:rsid w:val="3FFF7533"/>
    <w:rsid w:val="43B2F1C0"/>
    <w:rsid w:val="456763C5"/>
    <w:rsid w:val="45BF3274"/>
    <w:rsid w:val="45D7E243"/>
    <w:rsid w:val="48BB8B4B"/>
    <w:rsid w:val="4B5B2A90"/>
    <w:rsid w:val="4BF7FF2E"/>
    <w:rsid w:val="4DFBD284"/>
    <w:rsid w:val="4E156B3D"/>
    <w:rsid w:val="4E1F0F44"/>
    <w:rsid w:val="4FBB1D8C"/>
    <w:rsid w:val="4FE9832F"/>
    <w:rsid w:val="4FF70331"/>
    <w:rsid w:val="4FF7BE1A"/>
    <w:rsid w:val="50FE6ADB"/>
    <w:rsid w:val="51326B1D"/>
    <w:rsid w:val="51F77D82"/>
    <w:rsid w:val="527FD112"/>
    <w:rsid w:val="53DFB305"/>
    <w:rsid w:val="53EF79AD"/>
    <w:rsid w:val="53FB2CBF"/>
    <w:rsid w:val="55CBA7D5"/>
    <w:rsid w:val="55EEAE8C"/>
    <w:rsid w:val="56DB7AA8"/>
    <w:rsid w:val="56FF0E28"/>
    <w:rsid w:val="57566B97"/>
    <w:rsid w:val="57BF1449"/>
    <w:rsid w:val="57EFBD43"/>
    <w:rsid w:val="57FF219F"/>
    <w:rsid w:val="58FEB9DC"/>
    <w:rsid w:val="59FD4E82"/>
    <w:rsid w:val="5A4860B3"/>
    <w:rsid w:val="5A937021"/>
    <w:rsid w:val="5AFC24F7"/>
    <w:rsid w:val="5B9A2DEC"/>
    <w:rsid w:val="5BBD6E13"/>
    <w:rsid w:val="5BCB3A34"/>
    <w:rsid w:val="5BFA9CD0"/>
    <w:rsid w:val="5BFFFD7E"/>
    <w:rsid w:val="5CB3B55F"/>
    <w:rsid w:val="5D2CE47E"/>
    <w:rsid w:val="5D7F20FF"/>
    <w:rsid w:val="5D9F8265"/>
    <w:rsid w:val="5DDBF5F3"/>
    <w:rsid w:val="5DDF22DF"/>
    <w:rsid w:val="5EB7D3ED"/>
    <w:rsid w:val="5F5681C5"/>
    <w:rsid w:val="5F7D08A7"/>
    <w:rsid w:val="5F7DB837"/>
    <w:rsid w:val="5F9BB2A1"/>
    <w:rsid w:val="5FAD8EF6"/>
    <w:rsid w:val="5FB75A15"/>
    <w:rsid w:val="5FCBBF42"/>
    <w:rsid w:val="5FD723DC"/>
    <w:rsid w:val="5FDF90B6"/>
    <w:rsid w:val="5FF60D4B"/>
    <w:rsid w:val="5FF6DCE7"/>
    <w:rsid w:val="5FF7A5BC"/>
    <w:rsid w:val="5FFCE93B"/>
    <w:rsid w:val="623C8647"/>
    <w:rsid w:val="63DEECDE"/>
    <w:rsid w:val="64DE2EE8"/>
    <w:rsid w:val="64FE0C2D"/>
    <w:rsid w:val="656E4CE2"/>
    <w:rsid w:val="65FE9E7C"/>
    <w:rsid w:val="663A0F5A"/>
    <w:rsid w:val="66F91295"/>
    <w:rsid w:val="66FFE58A"/>
    <w:rsid w:val="679E64E3"/>
    <w:rsid w:val="67BFE304"/>
    <w:rsid w:val="67FF0AE1"/>
    <w:rsid w:val="6AB82458"/>
    <w:rsid w:val="6ABAA8F2"/>
    <w:rsid w:val="6B7747DC"/>
    <w:rsid w:val="6BBD88DA"/>
    <w:rsid w:val="6BCD35EA"/>
    <w:rsid w:val="6BD76737"/>
    <w:rsid w:val="6BFF76DB"/>
    <w:rsid w:val="6CA147CA"/>
    <w:rsid w:val="6D4E4C3E"/>
    <w:rsid w:val="6D974A34"/>
    <w:rsid w:val="6DB707BB"/>
    <w:rsid w:val="6DFF05F7"/>
    <w:rsid w:val="6E6F8497"/>
    <w:rsid w:val="6F43EF48"/>
    <w:rsid w:val="6F6789B6"/>
    <w:rsid w:val="6F7766D2"/>
    <w:rsid w:val="6F7DF7CE"/>
    <w:rsid w:val="6F7FCC7F"/>
    <w:rsid w:val="6FAFA39D"/>
    <w:rsid w:val="6FDD840C"/>
    <w:rsid w:val="6FE0F4D3"/>
    <w:rsid w:val="6FE75709"/>
    <w:rsid w:val="6FF2D6D6"/>
    <w:rsid w:val="6FF34F96"/>
    <w:rsid w:val="6FF45CEA"/>
    <w:rsid w:val="6FF716DB"/>
    <w:rsid w:val="6FFDFA24"/>
    <w:rsid w:val="6FFE3EAF"/>
    <w:rsid w:val="71FF7D0A"/>
    <w:rsid w:val="72EB777A"/>
    <w:rsid w:val="72FFE9AE"/>
    <w:rsid w:val="737FD072"/>
    <w:rsid w:val="73DF2DAB"/>
    <w:rsid w:val="73F176A7"/>
    <w:rsid w:val="73FD5604"/>
    <w:rsid w:val="73FFECDA"/>
    <w:rsid w:val="747A888F"/>
    <w:rsid w:val="750FA1D6"/>
    <w:rsid w:val="756FCD0A"/>
    <w:rsid w:val="75B3DD12"/>
    <w:rsid w:val="75CF54D1"/>
    <w:rsid w:val="75EF04F2"/>
    <w:rsid w:val="75FAA47E"/>
    <w:rsid w:val="766F7A46"/>
    <w:rsid w:val="768E81A3"/>
    <w:rsid w:val="76F64B8F"/>
    <w:rsid w:val="76FD9D28"/>
    <w:rsid w:val="76FEEE61"/>
    <w:rsid w:val="776F1411"/>
    <w:rsid w:val="7778CD86"/>
    <w:rsid w:val="777D5305"/>
    <w:rsid w:val="77970716"/>
    <w:rsid w:val="779BA78E"/>
    <w:rsid w:val="779F998F"/>
    <w:rsid w:val="77BA9AD4"/>
    <w:rsid w:val="77BC91CB"/>
    <w:rsid w:val="77BF1031"/>
    <w:rsid w:val="77BF2BD4"/>
    <w:rsid w:val="77BF889D"/>
    <w:rsid w:val="77CBDCD4"/>
    <w:rsid w:val="77EEEFB0"/>
    <w:rsid w:val="77F5A3A0"/>
    <w:rsid w:val="77FB5F0F"/>
    <w:rsid w:val="77FF3EC8"/>
    <w:rsid w:val="786FBDCD"/>
    <w:rsid w:val="797E5356"/>
    <w:rsid w:val="79B920D9"/>
    <w:rsid w:val="79E9C861"/>
    <w:rsid w:val="79FB7760"/>
    <w:rsid w:val="79FD0A56"/>
    <w:rsid w:val="7AE5DBB3"/>
    <w:rsid w:val="7AFF5EB9"/>
    <w:rsid w:val="7B5DC6B1"/>
    <w:rsid w:val="7B6F5951"/>
    <w:rsid w:val="7B96493D"/>
    <w:rsid w:val="7BCF005C"/>
    <w:rsid w:val="7BD42261"/>
    <w:rsid w:val="7BD44310"/>
    <w:rsid w:val="7BDB1FCF"/>
    <w:rsid w:val="7BDB2A3A"/>
    <w:rsid w:val="7BFF5EC4"/>
    <w:rsid w:val="7BFFCFED"/>
    <w:rsid w:val="7C7FEBCA"/>
    <w:rsid w:val="7C8F69E2"/>
    <w:rsid w:val="7CF42185"/>
    <w:rsid w:val="7CF73292"/>
    <w:rsid w:val="7D5F1D9E"/>
    <w:rsid w:val="7D8BFD37"/>
    <w:rsid w:val="7D9A1704"/>
    <w:rsid w:val="7D9FD79B"/>
    <w:rsid w:val="7DAC831F"/>
    <w:rsid w:val="7DD77842"/>
    <w:rsid w:val="7DDF6604"/>
    <w:rsid w:val="7DE53292"/>
    <w:rsid w:val="7DEB1AFE"/>
    <w:rsid w:val="7DED7411"/>
    <w:rsid w:val="7DF1E10E"/>
    <w:rsid w:val="7DFD73E2"/>
    <w:rsid w:val="7DFDD736"/>
    <w:rsid w:val="7DFE05F3"/>
    <w:rsid w:val="7DFE8B5F"/>
    <w:rsid w:val="7DFF42A3"/>
    <w:rsid w:val="7DFFCCA9"/>
    <w:rsid w:val="7E7B7B9C"/>
    <w:rsid w:val="7E7D1C61"/>
    <w:rsid w:val="7E7D8D6E"/>
    <w:rsid w:val="7E7F54FC"/>
    <w:rsid w:val="7ED7FC4A"/>
    <w:rsid w:val="7EDD9283"/>
    <w:rsid w:val="7EDFD2E7"/>
    <w:rsid w:val="7EDFE492"/>
    <w:rsid w:val="7EF5634A"/>
    <w:rsid w:val="7EFB08DF"/>
    <w:rsid w:val="7EFB55C5"/>
    <w:rsid w:val="7EFF406D"/>
    <w:rsid w:val="7F1D8D57"/>
    <w:rsid w:val="7F1E40BE"/>
    <w:rsid w:val="7F3621BC"/>
    <w:rsid w:val="7F57DE03"/>
    <w:rsid w:val="7F5BB81F"/>
    <w:rsid w:val="7F6B04AA"/>
    <w:rsid w:val="7F77492E"/>
    <w:rsid w:val="7F77F941"/>
    <w:rsid w:val="7F7B3DE3"/>
    <w:rsid w:val="7F7D9F75"/>
    <w:rsid w:val="7F970AAF"/>
    <w:rsid w:val="7FB60222"/>
    <w:rsid w:val="7FBB3E24"/>
    <w:rsid w:val="7FCF93F8"/>
    <w:rsid w:val="7FD3C253"/>
    <w:rsid w:val="7FD7B684"/>
    <w:rsid w:val="7FD8BC85"/>
    <w:rsid w:val="7FD9EACB"/>
    <w:rsid w:val="7FDB2159"/>
    <w:rsid w:val="7FDE51EB"/>
    <w:rsid w:val="7FE5E26F"/>
    <w:rsid w:val="7FEA5486"/>
    <w:rsid w:val="7FEEE4EC"/>
    <w:rsid w:val="7FEF98F0"/>
    <w:rsid w:val="7FF18CC3"/>
    <w:rsid w:val="7FF3602C"/>
    <w:rsid w:val="7FF5AD6A"/>
    <w:rsid w:val="7FF5AF2C"/>
    <w:rsid w:val="7FFB0564"/>
    <w:rsid w:val="7FFF452D"/>
    <w:rsid w:val="7FFF599C"/>
    <w:rsid w:val="7FFFC6AF"/>
    <w:rsid w:val="7FFFCD38"/>
    <w:rsid w:val="82FD5B1D"/>
    <w:rsid w:val="8D6F3E41"/>
    <w:rsid w:val="8FFB9F19"/>
    <w:rsid w:val="92EBC667"/>
    <w:rsid w:val="94EF102C"/>
    <w:rsid w:val="95F71F01"/>
    <w:rsid w:val="97F83311"/>
    <w:rsid w:val="99EF6A25"/>
    <w:rsid w:val="9B77206F"/>
    <w:rsid w:val="9BEBEE5E"/>
    <w:rsid w:val="9DFB032D"/>
    <w:rsid w:val="9E721949"/>
    <w:rsid w:val="9EAFB96C"/>
    <w:rsid w:val="9EFD5BFE"/>
    <w:rsid w:val="9F27B471"/>
    <w:rsid w:val="9F2E8185"/>
    <w:rsid w:val="9FB57339"/>
    <w:rsid w:val="9FB7EA78"/>
    <w:rsid w:val="9FFA633E"/>
    <w:rsid w:val="A1FC4041"/>
    <w:rsid w:val="A3FD0567"/>
    <w:rsid w:val="A5FF38C3"/>
    <w:rsid w:val="A9FFE8F3"/>
    <w:rsid w:val="ADDF17BB"/>
    <w:rsid w:val="ADFD37A5"/>
    <w:rsid w:val="AE3E50E0"/>
    <w:rsid w:val="AE5EE6B2"/>
    <w:rsid w:val="AF5ECCBA"/>
    <w:rsid w:val="AFBE912E"/>
    <w:rsid w:val="B1B49D08"/>
    <w:rsid w:val="B1B66AB4"/>
    <w:rsid w:val="B21BE3AA"/>
    <w:rsid w:val="B3F7BC4F"/>
    <w:rsid w:val="B4FCA926"/>
    <w:rsid w:val="B63DADFA"/>
    <w:rsid w:val="B65B9071"/>
    <w:rsid w:val="B6BD436B"/>
    <w:rsid w:val="B74F0858"/>
    <w:rsid w:val="B7723D83"/>
    <w:rsid w:val="B7B53829"/>
    <w:rsid w:val="BBDE52B9"/>
    <w:rsid w:val="BCD89F10"/>
    <w:rsid w:val="BD5E9D76"/>
    <w:rsid w:val="BD696C71"/>
    <w:rsid w:val="BD7F97C6"/>
    <w:rsid w:val="BDCDC6CE"/>
    <w:rsid w:val="BDDCDE30"/>
    <w:rsid w:val="BEB60D6E"/>
    <w:rsid w:val="BEE5E3CD"/>
    <w:rsid w:val="BEF7FCF3"/>
    <w:rsid w:val="BEFF0F6F"/>
    <w:rsid w:val="BF2F6936"/>
    <w:rsid w:val="BF53EE94"/>
    <w:rsid w:val="BF9F2A24"/>
    <w:rsid w:val="BFB713EB"/>
    <w:rsid w:val="BFBF9D29"/>
    <w:rsid w:val="BFC77011"/>
    <w:rsid w:val="BFCD2467"/>
    <w:rsid w:val="BFDF3EFB"/>
    <w:rsid w:val="BFDFA63C"/>
    <w:rsid w:val="BFE7537C"/>
    <w:rsid w:val="BFF52490"/>
    <w:rsid w:val="BFF73261"/>
    <w:rsid w:val="BFFA41F0"/>
    <w:rsid w:val="BFFDCA41"/>
    <w:rsid w:val="BFFFCC2F"/>
    <w:rsid w:val="BFFFF298"/>
    <w:rsid w:val="C7F5A2A5"/>
    <w:rsid w:val="C957498C"/>
    <w:rsid w:val="CA7C304F"/>
    <w:rsid w:val="CB7FDC85"/>
    <w:rsid w:val="CBFFBA9E"/>
    <w:rsid w:val="CDB9B15D"/>
    <w:rsid w:val="CEEFE0E2"/>
    <w:rsid w:val="CFFBD904"/>
    <w:rsid w:val="CFFEE6ED"/>
    <w:rsid w:val="D0FBC70A"/>
    <w:rsid w:val="D0FFDE8F"/>
    <w:rsid w:val="D17E07F5"/>
    <w:rsid w:val="D1FDF631"/>
    <w:rsid w:val="D29FE67E"/>
    <w:rsid w:val="D2FFE1E3"/>
    <w:rsid w:val="D3BAEFDD"/>
    <w:rsid w:val="D3FF8556"/>
    <w:rsid w:val="D579734C"/>
    <w:rsid w:val="D5E39D7E"/>
    <w:rsid w:val="D5FFB896"/>
    <w:rsid w:val="D6740767"/>
    <w:rsid w:val="D68E9DDF"/>
    <w:rsid w:val="D73DBB30"/>
    <w:rsid w:val="D7EF0366"/>
    <w:rsid w:val="D7EFDFA3"/>
    <w:rsid w:val="D7F74DB2"/>
    <w:rsid w:val="D7FD2D69"/>
    <w:rsid w:val="D8F1CD15"/>
    <w:rsid w:val="D97FF59F"/>
    <w:rsid w:val="DAFE8DE7"/>
    <w:rsid w:val="DB2F1A2D"/>
    <w:rsid w:val="DBFD6C73"/>
    <w:rsid w:val="DC8D1471"/>
    <w:rsid w:val="DCFFB80A"/>
    <w:rsid w:val="DD6F635F"/>
    <w:rsid w:val="DD7B2F97"/>
    <w:rsid w:val="DDBA98F3"/>
    <w:rsid w:val="DDBBBC13"/>
    <w:rsid w:val="DDE8C81F"/>
    <w:rsid w:val="DE9FD46C"/>
    <w:rsid w:val="DEDB86B3"/>
    <w:rsid w:val="DEF246AB"/>
    <w:rsid w:val="DF3FF174"/>
    <w:rsid w:val="DF7D69CA"/>
    <w:rsid w:val="DF7F14F9"/>
    <w:rsid w:val="DFAF092C"/>
    <w:rsid w:val="DFBE19D7"/>
    <w:rsid w:val="DFBE363B"/>
    <w:rsid w:val="DFBE3BE5"/>
    <w:rsid w:val="DFEBB9CF"/>
    <w:rsid w:val="DFF113AF"/>
    <w:rsid w:val="DFFB47F8"/>
    <w:rsid w:val="DFFE2A05"/>
    <w:rsid w:val="E05F4DD3"/>
    <w:rsid w:val="E47B2DA2"/>
    <w:rsid w:val="E4FB5FBA"/>
    <w:rsid w:val="E578D196"/>
    <w:rsid w:val="E5CDAD36"/>
    <w:rsid w:val="E67F6706"/>
    <w:rsid w:val="E74B6BB4"/>
    <w:rsid w:val="E79FBCF7"/>
    <w:rsid w:val="E7BD3164"/>
    <w:rsid w:val="E7BE0C07"/>
    <w:rsid w:val="E7C59E5E"/>
    <w:rsid w:val="E7DFC2B1"/>
    <w:rsid w:val="E7F73E7A"/>
    <w:rsid w:val="E7FFC107"/>
    <w:rsid w:val="E86FA8E6"/>
    <w:rsid w:val="EAB5C42C"/>
    <w:rsid w:val="EAFD15E1"/>
    <w:rsid w:val="EBD66E97"/>
    <w:rsid w:val="EBF3F940"/>
    <w:rsid w:val="ED978533"/>
    <w:rsid w:val="EDFBD385"/>
    <w:rsid w:val="EDFD0947"/>
    <w:rsid w:val="EDFE2E0F"/>
    <w:rsid w:val="EE3F14EB"/>
    <w:rsid w:val="EE6CEC74"/>
    <w:rsid w:val="EEEF047C"/>
    <w:rsid w:val="EF871A76"/>
    <w:rsid w:val="EFBD6647"/>
    <w:rsid w:val="EFCF700B"/>
    <w:rsid w:val="EFDB4502"/>
    <w:rsid w:val="EFF59178"/>
    <w:rsid w:val="EFF71514"/>
    <w:rsid w:val="EFFF9973"/>
    <w:rsid w:val="F19F71E0"/>
    <w:rsid w:val="F1FFF91B"/>
    <w:rsid w:val="F21CB1D3"/>
    <w:rsid w:val="F2761FAD"/>
    <w:rsid w:val="F2DF0D18"/>
    <w:rsid w:val="F346EB07"/>
    <w:rsid w:val="F36B413A"/>
    <w:rsid w:val="F3AD1DFA"/>
    <w:rsid w:val="F3BFA7CE"/>
    <w:rsid w:val="F3E762F4"/>
    <w:rsid w:val="F3EF180D"/>
    <w:rsid w:val="F3FE648C"/>
    <w:rsid w:val="F57C8C1C"/>
    <w:rsid w:val="F5865EFF"/>
    <w:rsid w:val="F5BDE589"/>
    <w:rsid w:val="F5BE57E7"/>
    <w:rsid w:val="F5DDBE36"/>
    <w:rsid w:val="F607EBA2"/>
    <w:rsid w:val="F62F87A7"/>
    <w:rsid w:val="F6677E98"/>
    <w:rsid w:val="F6BB3B72"/>
    <w:rsid w:val="F6DE2ABD"/>
    <w:rsid w:val="F6F6E068"/>
    <w:rsid w:val="F6FD0C6E"/>
    <w:rsid w:val="F6FFC6CE"/>
    <w:rsid w:val="F756D5A6"/>
    <w:rsid w:val="F773C6C5"/>
    <w:rsid w:val="F7773353"/>
    <w:rsid w:val="F7BFA80C"/>
    <w:rsid w:val="F7CA370A"/>
    <w:rsid w:val="F7D7E384"/>
    <w:rsid w:val="F7DB7AED"/>
    <w:rsid w:val="F7DD6724"/>
    <w:rsid w:val="F7DDEE7B"/>
    <w:rsid w:val="F7EF9BB9"/>
    <w:rsid w:val="F7EFF341"/>
    <w:rsid w:val="F7F735B4"/>
    <w:rsid w:val="F7F78C82"/>
    <w:rsid w:val="F7FBDC13"/>
    <w:rsid w:val="F8D3B5CD"/>
    <w:rsid w:val="F8FB07D6"/>
    <w:rsid w:val="F9530DF2"/>
    <w:rsid w:val="F99D2DF5"/>
    <w:rsid w:val="F9DE1E5B"/>
    <w:rsid w:val="F9FF0A32"/>
    <w:rsid w:val="FA5F876D"/>
    <w:rsid w:val="FAEE86E4"/>
    <w:rsid w:val="FAF60D85"/>
    <w:rsid w:val="FAFB5983"/>
    <w:rsid w:val="FB1FB69F"/>
    <w:rsid w:val="FB6F716A"/>
    <w:rsid w:val="FB6FA3FB"/>
    <w:rsid w:val="FB7819CB"/>
    <w:rsid w:val="FBBA64CF"/>
    <w:rsid w:val="FBBD0A1C"/>
    <w:rsid w:val="FBBDD231"/>
    <w:rsid w:val="FBEDCADE"/>
    <w:rsid w:val="FBF757A1"/>
    <w:rsid w:val="FBFE82CF"/>
    <w:rsid w:val="FBFF482A"/>
    <w:rsid w:val="FBFF9A85"/>
    <w:rsid w:val="FC799974"/>
    <w:rsid w:val="FCD8D798"/>
    <w:rsid w:val="FD7E856E"/>
    <w:rsid w:val="FD7F750C"/>
    <w:rsid w:val="FDBF5A2B"/>
    <w:rsid w:val="FDE7872A"/>
    <w:rsid w:val="FDEF90A8"/>
    <w:rsid w:val="FDF4001E"/>
    <w:rsid w:val="FDFD666B"/>
    <w:rsid w:val="FDFF977F"/>
    <w:rsid w:val="FDFFB8BD"/>
    <w:rsid w:val="FE0F068C"/>
    <w:rsid w:val="FE0FB489"/>
    <w:rsid w:val="FE75F4CC"/>
    <w:rsid w:val="FE7BC604"/>
    <w:rsid w:val="FE8D15C4"/>
    <w:rsid w:val="FEA52417"/>
    <w:rsid w:val="FEAF4E05"/>
    <w:rsid w:val="FEEB2A49"/>
    <w:rsid w:val="FEEF3A1F"/>
    <w:rsid w:val="FEFE5D51"/>
    <w:rsid w:val="FEFF1A3D"/>
    <w:rsid w:val="FEFF3DFB"/>
    <w:rsid w:val="FF2F6246"/>
    <w:rsid w:val="FF3B8456"/>
    <w:rsid w:val="FF3F449A"/>
    <w:rsid w:val="FF574232"/>
    <w:rsid w:val="FF5F637D"/>
    <w:rsid w:val="FF67B298"/>
    <w:rsid w:val="FF7E4960"/>
    <w:rsid w:val="FF7F341D"/>
    <w:rsid w:val="FF85BDFD"/>
    <w:rsid w:val="FF9E5FA5"/>
    <w:rsid w:val="FF9F9156"/>
    <w:rsid w:val="FFAF0DBC"/>
    <w:rsid w:val="FFB5E54D"/>
    <w:rsid w:val="FFBA89A9"/>
    <w:rsid w:val="FFBB6EB0"/>
    <w:rsid w:val="FFBBE477"/>
    <w:rsid w:val="FFBE1228"/>
    <w:rsid w:val="FFBF8F71"/>
    <w:rsid w:val="FFC6D97C"/>
    <w:rsid w:val="FFCF83FD"/>
    <w:rsid w:val="FFDC8318"/>
    <w:rsid w:val="FFDEB85C"/>
    <w:rsid w:val="FFDF88CD"/>
    <w:rsid w:val="FFEAA67D"/>
    <w:rsid w:val="FFEC2707"/>
    <w:rsid w:val="FFEDD0CE"/>
    <w:rsid w:val="FFEDD5C4"/>
    <w:rsid w:val="FFEE310C"/>
    <w:rsid w:val="FFEF8EFB"/>
    <w:rsid w:val="FFEFD1D4"/>
    <w:rsid w:val="FFF3A3D7"/>
    <w:rsid w:val="FFFBB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tabs>
        <w:tab w:val="left" w:pos="0"/>
      </w:tabs>
      <w:spacing w:before="50" w:beforeLines="50" w:after="50" w:afterLines="50"/>
      <w:ind w:left="576" w:hanging="576" w:firstLineChars="0"/>
      <w:outlineLvl w:val="1"/>
    </w:pPr>
    <w:rPr>
      <w:rFonts w:hint="default" w:eastAsia="黑体"/>
      <w:sz w:val="32"/>
      <w:szCs w:val="24"/>
    </w:rPr>
  </w:style>
  <w:style w:type="paragraph" w:styleId="4">
    <w:name w:val="heading 3"/>
    <w:basedOn w:val="1"/>
    <w:next w:val="5"/>
    <w:unhideWhenUsed/>
    <w:qFormat/>
    <w:uiPriority w:val="0"/>
    <w:pPr>
      <w:tabs>
        <w:tab w:val="left" w:pos="0"/>
      </w:tabs>
      <w:ind w:left="720" w:hanging="720"/>
      <w:outlineLvl w:val="2"/>
    </w:pPr>
    <w:rPr>
      <w:rFonts w:hint="default"/>
      <w:sz w:val="30"/>
      <w:szCs w:val="24"/>
    </w:rPr>
  </w:style>
  <w:style w:type="paragraph" w:styleId="6">
    <w:name w:val="heading 4"/>
    <w:basedOn w:val="1"/>
    <w:next w:val="5"/>
    <w:unhideWhenUsed/>
    <w:qFormat/>
    <w:uiPriority w:val="0"/>
    <w:pPr>
      <w:tabs>
        <w:tab w:val="left" w:pos="0"/>
      </w:tabs>
      <w:ind w:left="864" w:hanging="864"/>
      <w:outlineLvl w:val="3"/>
    </w:pPr>
    <w:rPr>
      <w:rFonts w:hint="default"/>
      <w:sz w:val="30"/>
      <w:szCs w:val="24"/>
    </w:rPr>
  </w:style>
  <w:style w:type="paragraph" w:styleId="7">
    <w:name w:val="heading 5"/>
    <w:basedOn w:val="1"/>
    <w:next w:val="5"/>
    <w:unhideWhenUsed/>
    <w:qFormat/>
    <w:uiPriority w:val="0"/>
    <w:pPr>
      <w:keepNext/>
      <w:keepLines/>
      <w:numPr>
        <w:ilvl w:val="4"/>
        <w:numId w:val="1"/>
      </w:numPr>
      <w:spacing w:before="280" w:after="290" w:line="372" w:lineRule="auto"/>
      <w:ind w:left="1008" w:hanging="1008" w:firstLineChars="0"/>
      <w:outlineLvl w:val="4"/>
    </w:pPr>
    <w:rPr>
      <w:rFonts w:hint="default" w:eastAsia="黑体"/>
      <w:sz w:val="28"/>
      <w:szCs w:val="24"/>
    </w:rPr>
  </w:style>
  <w:style w:type="paragraph" w:styleId="8">
    <w:name w:val="heading 6"/>
    <w:basedOn w:val="1"/>
    <w:next w:val="5"/>
    <w:unhideWhenUsed/>
    <w:qFormat/>
    <w:uiPriority w:val="0"/>
    <w:pPr>
      <w:keepNext/>
      <w:keepLines/>
      <w:numPr>
        <w:ilvl w:val="5"/>
        <w:numId w:val="2"/>
      </w:numPr>
      <w:spacing w:before="50" w:beforeLines="50" w:after="50" w:afterLines="50"/>
      <w:ind w:left="565"/>
      <w:outlineLvl w:val="5"/>
    </w:pPr>
    <w:rPr>
      <w:rFonts w:hint="default"/>
      <w:b/>
      <w:sz w:val="28"/>
      <w:szCs w:val="24"/>
    </w:rPr>
  </w:style>
  <w:style w:type="paragraph" w:styleId="9">
    <w:name w:val="heading 7"/>
    <w:basedOn w:val="1"/>
    <w:next w:val="5"/>
    <w:unhideWhenUsed/>
    <w:qFormat/>
    <w:uiPriority w:val="0"/>
    <w:pPr>
      <w:keepNext/>
      <w:keepLines/>
      <w:numPr>
        <w:ilvl w:val="6"/>
        <w:numId w:val="2"/>
      </w:numPr>
      <w:tabs>
        <w:tab w:val="left" w:pos="2940"/>
      </w:tabs>
      <w:spacing w:before="50" w:beforeLines="50" w:after="50" w:afterLines="50"/>
      <w:ind w:left="678"/>
      <w:outlineLvl w:val="6"/>
    </w:pPr>
    <w:rPr>
      <w:rFonts w:hint="default"/>
      <w:b/>
      <w:sz w:val="28"/>
      <w:szCs w:val="24"/>
    </w:rPr>
  </w:style>
  <w:style w:type="paragraph" w:styleId="10">
    <w:name w:val="heading 8"/>
    <w:basedOn w:val="1"/>
    <w:next w:val="5"/>
    <w:unhideWhenUsed/>
    <w:qFormat/>
    <w:uiPriority w:val="0"/>
    <w:pPr>
      <w:keepNext/>
      <w:keepLines/>
      <w:numPr>
        <w:ilvl w:val="7"/>
        <w:numId w:val="2"/>
      </w:numPr>
      <w:tabs>
        <w:tab w:val="left" w:pos="3360"/>
      </w:tabs>
      <w:spacing w:before="50" w:beforeLines="50" w:after="50" w:afterLines="50"/>
      <w:ind w:left="794"/>
      <w:outlineLvl w:val="7"/>
    </w:pPr>
    <w:rPr>
      <w:rFonts w:hint="default" w:eastAsia="黑体"/>
      <w:sz w:val="28"/>
      <w:szCs w:val="24"/>
    </w:rPr>
  </w:style>
  <w:style w:type="paragraph" w:styleId="11">
    <w:name w:val="heading 9"/>
    <w:basedOn w:val="1"/>
    <w:next w:val="1"/>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unhideWhenUsed/>
    <w:qFormat/>
    <w:uiPriority w:val="0"/>
    <w:pPr>
      <w:spacing w:beforeLines="0" w:afterLines="0"/>
      <w:ind w:firstLine="200" w:firstLineChars="200"/>
    </w:pPr>
    <w:rPr>
      <w:rFonts w:hint="default"/>
      <w:sz w:val="28"/>
      <w:szCs w:val="24"/>
    </w:rPr>
  </w:style>
  <w:style w:type="paragraph" w:styleId="12">
    <w:name w:val="caption"/>
    <w:basedOn w:val="1"/>
    <w:next w:val="1"/>
    <w:unhideWhenUsed/>
    <w:qFormat/>
    <w:uiPriority w:val="0"/>
    <w:pPr>
      <w:spacing w:beforeLines="0" w:afterLines="0" w:line="240" w:lineRule="auto"/>
      <w:jc w:val="center"/>
    </w:pPr>
    <w:rPr>
      <w:rFonts w:hint="default"/>
      <w:b/>
      <w:sz w:val="21"/>
      <w:szCs w:val="20"/>
    </w:rPr>
  </w:style>
  <w:style w:type="paragraph" w:styleId="13">
    <w:name w:val="Body Text"/>
    <w:basedOn w:val="1"/>
    <w:next w:val="14"/>
    <w:unhideWhenUsed/>
    <w:qFormat/>
    <w:uiPriority w:val="0"/>
    <w:pPr>
      <w:spacing w:beforeLines="0" w:after="120" w:afterLines="0"/>
    </w:pPr>
    <w:rPr>
      <w:rFonts w:hint="default"/>
      <w:sz w:val="28"/>
      <w:szCs w:val="24"/>
    </w:rPr>
  </w:style>
  <w:style w:type="paragraph" w:styleId="14">
    <w:name w:val="toc 5"/>
    <w:basedOn w:val="1"/>
    <w:next w:val="1"/>
    <w:unhideWhenUsed/>
    <w:qFormat/>
    <w:uiPriority w:val="0"/>
    <w:pPr>
      <w:spacing w:beforeLines="0" w:afterLines="0"/>
      <w:ind w:left="840"/>
    </w:pPr>
    <w:rPr>
      <w:rFonts w:hint="default"/>
      <w:sz w:val="18"/>
      <w:szCs w:val="18"/>
    </w:rPr>
  </w:style>
  <w:style w:type="paragraph" w:customStyle="1" w:styleId="17">
    <w:name w:val="表格"/>
    <w:basedOn w:val="1"/>
    <w:unhideWhenUsed/>
    <w:qFormat/>
    <w:uiPriority w:val="0"/>
    <w:pPr>
      <w:spacing w:beforeLines="0" w:afterLines="0"/>
      <w:ind w:firstLine="0" w:firstLineChars="0"/>
      <w:jc w:val="center"/>
    </w:pPr>
    <w:rPr>
      <w:rFonts w:hint="eastAsia" w:cs="宋体"/>
      <w:sz w:val="24"/>
      <w:szCs w:val="32"/>
    </w:rPr>
  </w:style>
  <w:style w:type="paragraph" w:customStyle="1" w:styleId="18">
    <w:name w:val="表格文字居中"/>
    <w:basedOn w:val="1"/>
    <w:unhideWhenUsed/>
    <w:qFormat/>
    <w:uiPriority w:val="0"/>
    <w:pPr>
      <w:snapToGrid w:val="0"/>
      <w:spacing w:beforeLines="0" w:afterLines="0"/>
      <w:jc w:val="center"/>
    </w:pPr>
    <w:rPr>
      <w:rFonts w:hint="default"/>
      <w:sz w:val="24"/>
      <w:szCs w:val="24"/>
    </w:rPr>
  </w:style>
  <w:style w:type="paragraph" w:customStyle="1" w:styleId="19">
    <w:name w:val="表格标题"/>
    <w:basedOn w:val="1"/>
    <w:unhideWhenUsed/>
    <w:qFormat/>
    <w:uiPriority w:val="0"/>
    <w:pPr>
      <w:snapToGrid w:val="0"/>
      <w:spacing w:beforeLines="0" w:afterLines="0" w:line="240" w:lineRule="auto"/>
      <w:jc w:val="center"/>
    </w:pPr>
    <w:rPr>
      <w:rFonts w:hint="default" w:eastAsia="黑体"/>
      <w:sz w:val="24"/>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8625</Words>
  <Characters>9047</Characters>
  <Lines>1</Lines>
  <Paragraphs>1</Paragraphs>
  <TotalTime>1</TotalTime>
  <ScaleCrop>false</ScaleCrop>
  <LinksUpToDate>false</LinksUpToDate>
  <CharactersWithSpaces>9068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2025-04-01T11:16:00Z</dcterms:created>
  <dc:creator>liurenhui</dc:creator>
  <cp:lastModifiedBy>KiHwa</cp:lastModifiedBy>
  <dcterms:modified xsi:type="dcterms:W3CDTF">2026-06-02T07:49:25Z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CE87DAA01938A048137DDF67109E060D_41</vt:lpwstr>
  </property>
  <property fmtid="{D5CDD505-2E9C-101B-9397-08002B2CF9AE}" pid="4" name="KSOTemplateDocerSaveRecord">
    <vt:lpwstr>eyJoZGlkIjoiNzdmOTU0NzZmNDI3NDNjYmVjZTJiN2NiNmE1NTUwZjciLCJ1c2VySWQiOiI0MDk1MTczODYifQ==</vt:lpwstr>
  </property>
</Properties>
</file>