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E7744">
      <w:pPr>
        <w:tabs>
          <w:tab w:val="left" w:pos="993"/>
          <w:tab w:val="left" w:pos="1134"/>
          <w:tab w:val="left" w:pos="1418"/>
        </w:tabs>
        <w:spacing w:line="600" w:lineRule="exact"/>
        <w:jc w:val="center"/>
        <w:rPr>
          <w:rFonts w:ascii="方正小标宋_GBK" w:hAnsi="方正小标宋_GBK" w:eastAsia="方正小标宋_GBK" w:cs="方正小标宋_GBK"/>
          <w:sz w:val="44"/>
          <w:szCs w:val="44"/>
        </w:rPr>
      </w:pPr>
    </w:p>
    <w:p w14:paraId="06AC979F">
      <w:pPr>
        <w:tabs>
          <w:tab w:val="left" w:pos="993"/>
          <w:tab w:val="left" w:pos="1134"/>
          <w:tab w:val="left" w:pos="1418"/>
        </w:tabs>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粤港澳大湾区高等级航道基础设施数字化转型升级示范通道建设项目</w:t>
      </w:r>
    </w:p>
    <w:p w14:paraId="01C3C57A">
      <w:pPr>
        <w:tabs>
          <w:tab w:val="left" w:pos="993"/>
          <w:tab w:val="left" w:pos="1134"/>
          <w:tab w:val="left" w:pos="1418"/>
        </w:tabs>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
        </w:rPr>
        <w:t>《广东省智慧船闸智能联合调度指南》《广东省航道物联网感知终端建设指南》</w:t>
      </w:r>
      <w:r>
        <w:rPr>
          <w:rFonts w:hint="eastAsia" w:ascii="方正小标宋_GBK" w:hAnsi="方正小标宋_GBK" w:eastAsia="方正小标宋_GBK" w:cs="方正小标宋_GBK"/>
          <w:sz w:val="44"/>
          <w:szCs w:val="44"/>
          <w:lang w:val="en-US" w:eastAsia="zh-CN"/>
        </w:rPr>
        <w:t>标准规范</w:t>
      </w:r>
      <w:r>
        <w:rPr>
          <w:rFonts w:hint="eastAsia" w:ascii="方正小标宋_GBK" w:hAnsi="方正小标宋_GBK" w:eastAsia="方正小标宋_GBK" w:cs="方正小标宋_GBK"/>
          <w:sz w:val="44"/>
          <w:szCs w:val="44"/>
        </w:rPr>
        <w:t>采购意向公开</w:t>
      </w:r>
    </w:p>
    <w:p w14:paraId="62B16152">
      <w:pPr>
        <w:tabs>
          <w:tab w:val="left" w:pos="993"/>
          <w:tab w:val="left" w:pos="1134"/>
          <w:tab w:val="left" w:pos="1418"/>
        </w:tabs>
        <w:spacing w:line="600" w:lineRule="exact"/>
        <w:ind w:firstLine="640" w:firstLineChars="200"/>
        <w:jc w:val="left"/>
        <w:rPr>
          <w:rFonts w:ascii="仿宋_GB2312" w:hAnsi="仿宋_GB2312" w:eastAsia="仿宋_GB2312" w:cs="仿宋_GB2312"/>
          <w:sz w:val="32"/>
          <w:szCs w:val="32"/>
        </w:rPr>
      </w:pPr>
    </w:p>
    <w:p w14:paraId="7915B5C3">
      <w:pPr>
        <w:tabs>
          <w:tab w:val="left" w:pos="993"/>
          <w:tab w:val="left" w:pos="1134"/>
          <w:tab w:val="left" w:pos="1418"/>
        </w:tabs>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为便于供应商及时了解采购信息，按照《广东省航道事务中心采购管理办法》（粤航道〔2021〕274号）等有关规定，现将广东省航道事务中心粤港澳大湾区高等级航道基础设施数字化转型升级示范通道建设项目</w:t>
      </w:r>
      <w:r>
        <w:rPr>
          <w:rFonts w:hint="eastAsia" w:ascii="仿宋_GB2312" w:hAnsi="仿宋_GB2312" w:eastAsia="仿宋_GB2312" w:cs="仿宋_GB2312"/>
          <w:sz w:val="32"/>
          <w:szCs w:val="32"/>
          <w:lang w:eastAsia="zh"/>
        </w:rPr>
        <w:t>《广东省智慧船闸智能联合调度指南》《广东省航道物联网感知终端建设指南》</w:t>
      </w:r>
      <w:r>
        <w:rPr>
          <w:rFonts w:hint="eastAsia" w:ascii="仿宋_GB2312" w:hAnsi="仿宋_GB2312" w:eastAsia="仿宋_GB2312" w:cs="仿宋_GB2312"/>
          <w:sz w:val="32"/>
          <w:szCs w:val="32"/>
        </w:rPr>
        <w:t>标准规范采购意向公开如下：</w:t>
      </w:r>
    </w:p>
    <w:tbl>
      <w:tblPr>
        <w:tblStyle w:val="5"/>
        <w:tblW w:w="139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953"/>
        <w:gridCol w:w="6551"/>
        <w:gridCol w:w="1289"/>
        <w:gridCol w:w="1661"/>
        <w:gridCol w:w="1685"/>
      </w:tblGrid>
      <w:tr w14:paraId="7B14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57" w:type="dxa"/>
            <w:vAlign w:val="center"/>
          </w:tcPr>
          <w:p w14:paraId="78725B9C">
            <w:pPr>
              <w:tabs>
                <w:tab w:val="left" w:pos="993"/>
                <w:tab w:val="left" w:pos="1134"/>
                <w:tab w:val="left" w:pos="1418"/>
              </w:tabs>
              <w:spacing w:line="40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序号</w:t>
            </w:r>
          </w:p>
        </w:tc>
        <w:tc>
          <w:tcPr>
            <w:tcW w:w="1806" w:type="dxa"/>
            <w:vAlign w:val="center"/>
          </w:tcPr>
          <w:p w14:paraId="3B6BC503">
            <w:pPr>
              <w:tabs>
                <w:tab w:val="left" w:pos="993"/>
                <w:tab w:val="left" w:pos="1134"/>
                <w:tab w:val="left" w:pos="1418"/>
              </w:tabs>
              <w:spacing w:line="40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采购项目名称</w:t>
            </w:r>
          </w:p>
        </w:tc>
        <w:tc>
          <w:tcPr>
            <w:tcW w:w="6058" w:type="dxa"/>
            <w:vAlign w:val="center"/>
          </w:tcPr>
          <w:p w14:paraId="56A3B77C">
            <w:pPr>
              <w:tabs>
                <w:tab w:val="left" w:pos="993"/>
                <w:tab w:val="left" w:pos="1134"/>
                <w:tab w:val="left" w:pos="1418"/>
              </w:tabs>
              <w:spacing w:line="40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采购需求概况</w:t>
            </w:r>
          </w:p>
        </w:tc>
        <w:tc>
          <w:tcPr>
            <w:tcW w:w="1192" w:type="dxa"/>
            <w:vAlign w:val="center"/>
          </w:tcPr>
          <w:p w14:paraId="0398ECF9">
            <w:pPr>
              <w:tabs>
                <w:tab w:val="left" w:pos="993"/>
                <w:tab w:val="left" w:pos="1134"/>
                <w:tab w:val="left" w:pos="1418"/>
              </w:tabs>
              <w:spacing w:line="40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预算金额</w:t>
            </w:r>
          </w:p>
          <w:p w14:paraId="582B5BD1">
            <w:pPr>
              <w:tabs>
                <w:tab w:val="left" w:pos="993"/>
                <w:tab w:val="left" w:pos="1134"/>
                <w:tab w:val="left" w:pos="1418"/>
              </w:tabs>
              <w:spacing w:line="40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（万元）</w:t>
            </w:r>
          </w:p>
        </w:tc>
        <w:tc>
          <w:tcPr>
            <w:tcW w:w="1536" w:type="dxa"/>
            <w:vAlign w:val="center"/>
          </w:tcPr>
          <w:p w14:paraId="05ED53CD">
            <w:pPr>
              <w:tabs>
                <w:tab w:val="left" w:pos="993"/>
                <w:tab w:val="left" w:pos="1134"/>
                <w:tab w:val="left" w:pos="1418"/>
              </w:tabs>
              <w:spacing w:line="40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预计采购时间（填写到月）</w:t>
            </w:r>
          </w:p>
        </w:tc>
        <w:tc>
          <w:tcPr>
            <w:tcW w:w="1558" w:type="dxa"/>
            <w:vAlign w:val="center"/>
          </w:tcPr>
          <w:p w14:paraId="454EA5D6">
            <w:pPr>
              <w:tabs>
                <w:tab w:val="left" w:pos="993"/>
                <w:tab w:val="left" w:pos="1134"/>
                <w:tab w:val="left" w:pos="1418"/>
              </w:tabs>
              <w:spacing w:line="400" w:lineRule="exact"/>
              <w:jc w:val="center"/>
              <w:rPr>
                <w:rFonts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备注</w:t>
            </w:r>
          </w:p>
        </w:tc>
      </w:tr>
      <w:tr w14:paraId="3914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Align w:val="center"/>
          </w:tcPr>
          <w:p w14:paraId="0DFF2926">
            <w:pPr>
              <w:tabs>
                <w:tab w:val="left" w:pos="993"/>
                <w:tab w:val="left" w:pos="1134"/>
                <w:tab w:val="left" w:pos="1418"/>
              </w:tabs>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w:t>
            </w:r>
          </w:p>
        </w:tc>
        <w:tc>
          <w:tcPr>
            <w:tcW w:w="1806" w:type="dxa"/>
            <w:vAlign w:val="center"/>
          </w:tcPr>
          <w:p w14:paraId="2ED6E6E7">
            <w:pPr>
              <w:tabs>
                <w:tab w:val="left" w:pos="993"/>
                <w:tab w:val="left" w:pos="1134"/>
                <w:tab w:val="left" w:pos="1418"/>
              </w:tabs>
              <w:spacing w:line="40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《广东省智慧船闸智能联合调度指南》</w:t>
            </w:r>
          </w:p>
        </w:tc>
        <w:tc>
          <w:tcPr>
            <w:tcW w:w="6058" w:type="dxa"/>
            <w:vAlign w:val="center"/>
          </w:tcPr>
          <w:p w14:paraId="2D87709A">
            <w:pPr>
              <w:widowControl/>
              <w:spacing w:line="400" w:lineRule="exact"/>
              <w:jc w:val="left"/>
              <w:textAlignment w:val="baseline"/>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标的名称：</w:t>
            </w:r>
            <w:r>
              <w:rPr>
                <w:rFonts w:hint="eastAsia" w:ascii="仿宋_GB2312" w:hAnsi="仿宋_GB2312" w:eastAsia="仿宋_GB2312" w:cs="仿宋_GB2312"/>
                <w:sz w:val="24"/>
              </w:rPr>
              <w:t>《广东省智慧船闸智能联合调度指南》</w:t>
            </w:r>
          </w:p>
          <w:p w14:paraId="32D67790">
            <w:pPr>
              <w:widowControl/>
              <w:spacing w:line="400" w:lineRule="exact"/>
              <w:jc w:val="left"/>
              <w:textAlignment w:val="baseline"/>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标的数量：1</w:t>
            </w:r>
          </w:p>
          <w:p w14:paraId="71C33536">
            <w:pPr>
              <w:widowControl/>
              <w:spacing w:line="400" w:lineRule="exact"/>
              <w:jc w:val="left"/>
              <w:textAlignment w:val="baseline"/>
              <w:rPr>
                <w:rFonts w:ascii="仿宋_GB2312" w:hAnsi="仿宋_GB2312" w:eastAsia="仿宋_GB2312" w:cs="仿宋_GB2312"/>
                <w:sz w:val="24"/>
              </w:rPr>
            </w:pPr>
            <w:r>
              <w:rPr>
                <w:rFonts w:hint="eastAsia" w:ascii="仿宋_GB2312" w:hAnsi="仿宋_GB2312" w:eastAsia="仿宋_GB2312" w:cs="仿宋_GB2312"/>
                <w:sz w:val="24"/>
                <w:lang w:val="en-US" w:eastAsia="zh-CN"/>
              </w:rPr>
              <w:t>标的目标：</w:t>
            </w:r>
            <w:r>
              <w:rPr>
                <w:rFonts w:hint="eastAsia" w:ascii="仿宋_GB2312" w:hAnsi="仿宋_GB2312" w:eastAsia="仿宋_GB2312" w:cs="仿宋_GB2312"/>
                <w:sz w:val="24"/>
              </w:rPr>
              <w:t>研究内容包括智慧船闸建设研究、智慧船闸智能联合调度研究。依托粤港澳大湾区高等级航道基础设施数字化转型升级示范通道建设项目，提出广东省智慧船闸建设目标、建设框架和建设内容，规范智慧船闸在规划设计、施工建设、动态感知、调度运营、养护管理、服务管理等方面的技术要求，规范通信、数据中台、控制中心和网络安全等支撑保障要求，编制《广东省智慧船闸建设技术指引》</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依托粤港澳大湾区高等级航道基础设施数字化转型升级示范通道建设项目，将珠海联石湾船闸纳入多闸集控联调体系，将船闸上下游候闸锚地纳入船闸联合调度范围，提出不同船型、不同环境、不同约束条件下的调度策略和要求，编制《广东省智慧船闸智能联合调度指南》。</w:t>
            </w:r>
          </w:p>
        </w:tc>
        <w:tc>
          <w:tcPr>
            <w:tcW w:w="1192" w:type="dxa"/>
            <w:vAlign w:val="center"/>
          </w:tcPr>
          <w:p w14:paraId="0AA97545">
            <w:pPr>
              <w:tabs>
                <w:tab w:val="left" w:pos="993"/>
                <w:tab w:val="left" w:pos="1134"/>
                <w:tab w:val="left" w:pos="1418"/>
              </w:tabs>
              <w:spacing w:line="400" w:lineRule="exact"/>
              <w:ind w:firstLine="120" w:firstLineChars="50"/>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60</w:t>
            </w:r>
          </w:p>
        </w:tc>
        <w:tc>
          <w:tcPr>
            <w:tcW w:w="1536" w:type="dxa"/>
            <w:vAlign w:val="center"/>
          </w:tcPr>
          <w:p w14:paraId="036AEE6F">
            <w:pPr>
              <w:tabs>
                <w:tab w:val="left" w:pos="993"/>
                <w:tab w:val="left" w:pos="1134"/>
                <w:tab w:val="left" w:pos="1418"/>
              </w:tabs>
              <w:spacing w:line="400" w:lineRule="exact"/>
              <w:rPr>
                <w:rFonts w:ascii="仿宋_GB2312" w:hAnsi="仿宋_GB2312" w:eastAsia="仿宋_GB2312" w:cs="仿宋_GB2312"/>
                <w:sz w:val="24"/>
              </w:rPr>
            </w:pPr>
            <w:r>
              <w:rPr>
                <w:rFonts w:hint="eastAsia" w:ascii="仿宋_GB2312" w:hAnsi="仿宋_GB2312" w:eastAsia="仿宋_GB2312" w:cs="仿宋_GB2312"/>
                <w:sz w:val="24"/>
              </w:rPr>
              <w:t>202</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年</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月</w:t>
            </w:r>
          </w:p>
        </w:tc>
        <w:tc>
          <w:tcPr>
            <w:tcW w:w="1558" w:type="dxa"/>
            <w:vAlign w:val="center"/>
          </w:tcPr>
          <w:p w14:paraId="35B66523">
            <w:pPr>
              <w:widowControl/>
              <w:spacing w:line="400" w:lineRule="exact"/>
              <w:rPr>
                <w:rFonts w:hint="eastAsia" w:ascii="仿宋_GB2312" w:hAnsi="仿宋_GB2312" w:eastAsia="仿宋_GB2312" w:cs="仿宋_GB2312"/>
                <w:sz w:val="24"/>
                <w:lang w:eastAsia="zh"/>
              </w:rPr>
            </w:pPr>
            <w:r>
              <w:rPr>
                <w:rFonts w:hint="eastAsia" w:ascii="仿宋_GB2312" w:hAnsi="仿宋_GB2312" w:eastAsia="仿宋_GB2312" w:cs="仿宋_GB2312"/>
                <w:sz w:val="24"/>
                <w:lang w:eastAsia="zh"/>
              </w:rPr>
              <w:t>跨年度安排资金，计划2026年安排</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lang w:eastAsia="zh"/>
              </w:rPr>
              <w:t>万，2027年安排</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lang w:eastAsia="zh"/>
              </w:rPr>
              <w:t>万。</w:t>
            </w:r>
          </w:p>
        </w:tc>
      </w:tr>
      <w:tr w14:paraId="2AC1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vAlign w:val="center"/>
          </w:tcPr>
          <w:p w14:paraId="6C85F3DB">
            <w:pPr>
              <w:tabs>
                <w:tab w:val="left" w:pos="993"/>
                <w:tab w:val="left" w:pos="1134"/>
                <w:tab w:val="left" w:pos="1418"/>
              </w:tabs>
              <w:spacing w:line="40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w:t>
            </w:r>
          </w:p>
        </w:tc>
        <w:tc>
          <w:tcPr>
            <w:tcW w:w="1806" w:type="dxa"/>
            <w:vAlign w:val="center"/>
          </w:tcPr>
          <w:p w14:paraId="2D3FE678">
            <w:pPr>
              <w:tabs>
                <w:tab w:val="left" w:pos="993"/>
                <w:tab w:val="left" w:pos="1134"/>
                <w:tab w:val="left" w:pos="1418"/>
              </w:tabs>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《广东省航道物联网感知终端建设指南》</w:t>
            </w:r>
          </w:p>
        </w:tc>
        <w:tc>
          <w:tcPr>
            <w:tcW w:w="6058" w:type="dxa"/>
            <w:vAlign w:val="center"/>
          </w:tcPr>
          <w:p w14:paraId="040345EF">
            <w:pPr>
              <w:widowControl/>
              <w:spacing w:line="400" w:lineRule="exact"/>
              <w:jc w:val="left"/>
              <w:textAlignment w:val="baseline"/>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标的名称：</w:t>
            </w:r>
            <w:r>
              <w:rPr>
                <w:rFonts w:hint="eastAsia" w:ascii="仿宋_GB2312" w:hAnsi="仿宋_GB2312" w:eastAsia="仿宋_GB2312" w:cs="仿宋_GB2312"/>
                <w:sz w:val="24"/>
              </w:rPr>
              <w:t>《广东省航道物联网感知终端建设指南》</w:t>
            </w:r>
          </w:p>
          <w:p w14:paraId="2EE6F0A0">
            <w:pPr>
              <w:widowControl/>
              <w:spacing w:line="400" w:lineRule="exact"/>
              <w:jc w:val="left"/>
              <w:textAlignment w:val="baseline"/>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标的数量：1</w:t>
            </w:r>
          </w:p>
          <w:p w14:paraId="5EC4FAD3">
            <w:pPr>
              <w:widowControl/>
              <w:spacing w:line="400" w:lineRule="exact"/>
              <w:jc w:val="left"/>
              <w:textAlignment w:val="baseline"/>
              <w:rPr>
                <w:rFonts w:ascii="仿宋_GB2312" w:hAnsi="仿宋_GB2312" w:eastAsia="仿宋_GB2312" w:cs="仿宋_GB2312"/>
                <w:sz w:val="24"/>
              </w:rPr>
            </w:pPr>
            <w:r>
              <w:rPr>
                <w:rFonts w:hint="eastAsia" w:ascii="仿宋_GB2312" w:hAnsi="仿宋_GB2312" w:eastAsia="仿宋_GB2312" w:cs="仿宋_GB2312"/>
                <w:sz w:val="24"/>
                <w:lang w:val="en-US" w:eastAsia="zh-CN"/>
              </w:rPr>
              <w:t>标的目标：</w:t>
            </w:r>
            <w:r>
              <w:rPr>
                <w:rFonts w:hint="eastAsia" w:ascii="仿宋_GB2312" w:hAnsi="仿宋_GB2312" w:eastAsia="仿宋_GB2312" w:cs="仿宋_GB2312"/>
                <w:sz w:val="24"/>
              </w:rPr>
              <w:t>研究内容包括广东省航道物联网感知终端互联结构研究、广东省航道物联网感知终端传输、交换与控制要求研究。规范广东省航道物联网感知终端建设布局，提升航道感知体系的互联互通水平，针对感知终端的整体互联架构、节点布设规范、设备组网要求、接口适配标准等核心环节，制定统一、明确的技术要求与实施规范，保障全省航道物联网感知终端互联的规范性、兼容性和系统性，编制《广东省航道物联网感知终端建设指南》</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构建航道物联网感知终端数据传输、交换及设备控制的标准化体系，明确各建设主体、运维单位的责任与义务，针对感知数据的实时传输、安全交换、分级管控及终端设备的远程控制、状态监测等不同场景，提出适配性的技术要求与操作规范，并对传输中断、交换异常、控制失效及设备运维不规范等情况提出针对性的管理建议与处置措施，编制《广东省航道物联网感知终端传输交换与控制管理办法》。</w:t>
            </w:r>
          </w:p>
        </w:tc>
        <w:tc>
          <w:tcPr>
            <w:tcW w:w="1192" w:type="dxa"/>
            <w:vAlign w:val="center"/>
          </w:tcPr>
          <w:p w14:paraId="169727F4">
            <w:pPr>
              <w:tabs>
                <w:tab w:val="left" w:pos="993"/>
                <w:tab w:val="left" w:pos="1134"/>
                <w:tab w:val="left" w:pos="1418"/>
              </w:tabs>
              <w:spacing w:line="400" w:lineRule="exact"/>
              <w:ind w:firstLine="120" w:firstLineChars="50"/>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50</w:t>
            </w:r>
          </w:p>
        </w:tc>
        <w:tc>
          <w:tcPr>
            <w:tcW w:w="1536" w:type="dxa"/>
            <w:vAlign w:val="center"/>
          </w:tcPr>
          <w:p w14:paraId="54769B0B">
            <w:pPr>
              <w:tabs>
                <w:tab w:val="left" w:pos="993"/>
                <w:tab w:val="left" w:pos="1134"/>
                <w:tab w:val="left" w:pos="1418"/>
              </w:tabs>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202</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年</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月</w:t>
            </w:r>
          </w:p>
        </w:tc>
        <w:tc>
          <w:tcPr>
            <w:tcW w:w="1558" w:type="dxa"/>
            <w:vAlign w:val="center"/>
          </w:tcPr>
          <w:p w14:paraId="23F6B868">
            <w:pPr>
              <w:widowControl/>
              <w:spacing w:line="400" w:lineRule="exact"/>
              <w:rPr>
                <w:rFonts w:hint="eastAsia" w:ascii="仿宋_GB2312" w:hAnsi="仿宋_GB2312" w:eastAsia="仿宋_GB2312" w:cs="仿宋_GB2312"/>
                <w:sz w:val="24"/>
                <w:lang w:eastAsia="zh"/>
              </w:rPr>
            </w:pPr>
            <w:r>
              <w:rPr>
                <w:rFonts w:hint="eastAsia" w:ascii="仿宋_GB2312" w:hAnsi="仿宋_GB2312" w:eastAsia="仿宋_GB2312" w:cs="仿宋_GB2312"/>
                <w:sz w:val="24"/>
                <w:lang w:eastAsia="zh"/>
              </w:rPr>
              <w:t>跨年度安排资金，计划2026年安排</w:t>
            </w:r>
            <w:r>
              <w:rPr>
                <w:rFonts w:hint="eastAsia" w:ascii="仿宋_GB2312" w:hAnsi="仿宋_GB2312" w:eastAsia="仿宋_GB2312" w:cs="仿宋_GB2312"/>
                <w:sz w:val="24"/>
                <w:lang w:val="en-US" w:eastAsia="zh-CN"/>
              </w:rPr>
              <w:t>25</w:t>
            </w:r>
            <w:r>
              <w:rPr>
                <w:rFonts w:hint="eastAsia" w:ascii="仿宋_GB2312" w:hAnsi="仿宋_GB2312" w:eastAsia="仿宋_GB2312" w:cs="仿宋_GB2312"/>
                <w:sz w:val="24"/>
                <w:lang w:eastAsia="zh"/>
              </w:rPr>
              <w:t>万，2027年安排</w:t>
            </w:r>
            <w:r>
              <w:rPr>
                <w:rFonts w:hint="eastAsia" w:ascii="仿宋_GB2312" w:hAnsi="仿宋_GB2312" w:eastAsia="仿宋_GB2312" w:cs="仿宋_GB2312"/>
                <w:sz w:val="24"/>
                <w:lang w:val="en-US" w:eastAsia="zh-CN"/>
              </w:rPr>
              <w:t>25</w:t>
            </w:r>
            <w:r>
              <w:rPr>
                <w:rFonts w:hint="eastAsia" w:ascii="仿宋_GB2312" w:hAnsi="仿宋_GB2312" w:eastAsia="仿宋_GB2312" w:cs="仿宋_GB2312"/>
                <w:sz w:val="24"/>
                <w:lang w:eastAsia="zh"/>
              </w:rPr>
              <w:t>万。</w:t>
            </w:r>
            <w:bookmarkStart w:id="0" w:name="_GoBack"/>
            <w:bookmarkEnd w:id="0"/>
          </w:p>
        </w:tc>
      </w:tr>
    </w:tbl>
    <w:p w14:paraId="64407BF6">
      <w:pPr>
        <w:tabs>
          <w:tab w:val="left" w:pos="993"/>
          <w:tab w:val="left" w:pos="1134"/>
          <w:tab w:val="left" w:pos="1418"/>
        </w:tabs>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本次公开的采购意向是本单位采购工作的初步安排，具体采购项目情况以相关采购公告和采购文件为准。</w:t>
      </w:r>
    </w:p>
    <w:p w14:paraId="351E669A">
      <w:pPr>
        <w:tabs>
          <w:tab w:val="left" w:pos="993"/>
          <w:tab w:val="left" w:pos="1134"/>
          <w:tab w:val="left" w:pos="1418"/>
        </w:tabs>
        <w:spacing w:line="600" w:lineRule="exact"/>
        <w:ind w:firstLine="960" w:firstLineChars="3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广东省航道事务中心</w:t>
      </w:r>
    </w:p>
    <w:p w14:paraId="74B264BB">
      <w:pPr>
        <w:tabs>
          <w:tab w:val="left" w:pos="993"/>
          <w:tab w:val="left" w:pos="1134"/>
          <w:tab w:val="left" w:pos="1418"/>
        </w:tabs>
        <w:spacing w:line="600" w:lineRule="exact"/>
        <w:ind w:right="160" w:firstLine="960" w:firstLineChars="3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
        </w:rPr>
        <w:t>20</w:t>
      </w:r>
      <w:r>
        <w:rPr>
          <w:rFonts w:hint="eastAsia" w:ascii="仿宋_GB2312" w:hAnsi="仿宋_GB2312" w:eastAsia="仿宋_GB2312" w:cs="仿宋_GB2312"/>
          <w:sz w:val="32"/>
          <w:szCs w:val="32"/>
        </w:rPr>
        <w:t>日</w:t>
      </w: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0D"/>
    <w:rsid w:val="00127D84"/>
    <w:rsid w:val="001347F1"/>
    <w:rsid w:val="001F460A"/>
    <w:rsid w:val="004103C6"/>
    <w:rsid w:val="00667101"/>
    <w:rsid w:val="0081590B"/>
    <w:rsid w:val="00890D35"/>
    <w:rsid w:val="009225D4"/>
    <w:rsid w:val="00A03907"/>
    <w:rsid w:val="00A25316"/>
    <w:rsid w:val="00A52909"/>
    <w:rsid w:val="00BB4C79"/>
    <w:rsid w:val="00C31667"/>
    <w:rsid w:val="00C35CFA"/>
    <w:rsid w:val="00D20868"/>
    <w:rsid w:val="00D714B9"/>
    <w:rsid w:val="00DA7E68"/>
    <w:rsid w:val="00DC7506"/>
    <w:rsid w:val="00E05A0D"/>
    <w:rsid w:val="00EE4282"/>
    <w:rsid w:val="00FE39A9"/>
    <w:rsid w:val="029E35C0"/>
    <w:rsid w:val="054E04CF"/>
    <w:rsid w:val="08D4652E"/>
    <w:rsid w:val="0A762CD0"/>
    <w:rsid w:val="0B133B59"/>
    <w:rsid w:val="0C6B5737"/>
    <w:rsid w:val="0C88544C"/>
    <w:rsid w:val="0CBE0DBC"/>
    <w:rsid w:val="0CF30271"/>
    <w:rsid w:val="0D215BAC"/>
    <w:rsid w:val="0E4F086D"/>
    <w:rsid w:val="0EAF02B5"/>
    <w:rsid w:val="103A792D"/>
    <w:rsid w:val="18F243B0"/>
    <w:rsid w:val="1DF50D40"/>
    <w:rsid w:val="24413360"/>
    <w:rsid w:val="25103512"/>
    <w:rsid w:val="26D1B02C"/>
    <w:rsid w:val="280B537F"/>
    <w:rsid w:val="283C698F"/>
    <w:rsid w:val="2A796017"/>
    <w:rsid w:val="2D1F3858"/>
    <w:rsid w:val="2D8A7217"/>
    <w:rsid w:val="2DFDBBD1"/>
    <w:rsid w:val="30523320"/>
    <w:rsid w:val="30C20C8B"/>
    <w:rsid w:val="36AC00BE"/>
    <w:rsid w:val="37351784"/>
    <w:rsid w:val="3D1307F4"/>
    <w:rsid w:val="3E372F99"/>
    <w:rsid w:val="3E5B52B4"/>
    <w:rsid w:val="3F0927E4"/>
    <w:rsid w:val="3FB20A74"/>
    <w:rsid w:val="3FD32C7D"/>
    <w:rsid w:val="449A0D61"/>
    <w:rsid w:val="465063E3"/>
    <w:rsid w:val="46B34F58"/>
    <w:rsid w:val="4AF75D7D"/>
    <w:rsid w:val="4E9F5965"/>
    <w:rsid w:val="529055EC"/>
    <w:rsid w:val="54A56011"/>
    <w:rsid w:val="563B79A4"/>
    <w:rsid w:val="5763716D"/>
    <w:rsid w:val="5B4B1C53"/>
    <w:rsid w:val="5BFF4964"/>
    <w:rsid w:val="61995250"/>
    <w:rsid w:val="63773480"/>
    <w:rsid w:val="64157898"/>
    <w:rsid w:val="65DF0865"/>
    <w:rsid w:val="68DF2B52"/>
    <w:rsid w:val="69D032B4"/>
    <w:rsid w:val="6A581006"/>
    <w:rsid w:val="6BFD166D"/>
    <w:rsid w:val="70FC7D4C"/>
    <w:rsid w:val="72A77ED2"/>
    <w:rsid w:val="735B88BF"/>
    <w:rsid w:val="73F5666D"/>
    <w:rsid w:val="76AA0D57"/>
    <w:rsid w:val="782B0E03"/>
    <w:rsid w:val="789C861C"/>
    <w:rsid w:val="7BBF1BEE"/>
    <w:rsid w:val="7D353D43"/>
    <w:rsid w:val="7D38403A"/>
    <w:rsid w:val="7F9FFBE3"/>
    <w:rsid w:val="C6FF6843"/>
    <w:rsid w:val="E5DFD47E"/>
    <w:rsid w:val="E7CD7F09"/>
    <w:rsid w:val="EBEFE18B"/>
    <w:rsid w:val="EEF5DC18"/>
    <w:rsid w:val="EFB4C018"/>
    <w:rsid w:val="F1FBE020"/>
    <w:rsid w:val="FEFF052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1141</Words>
  <Characters>1174</Characters>
  <Lines>4</Lines>
  <Paragraphs>1</Paragraphs>
  <TotalTime>5</TotalTime>
  <ScaleCrop>false</ScaleCrop>
  <LinksUpToDate>false</LinksUpToDate>
  <CharactersWithSpaces>1234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2020-02-27T08:15:00Z</dcterms:created>
  <dc:creator>may</dc:creator>
  <cp:lastModifiedBy>KiHwa</cp:lastModifiedBy>
  <dcterms:modified xsi:type="dcterms:W3CDTF">2026-05-28T01:53:06Z</dcterms:modified>
  <dc:title>附：政府采购意向公开参考文本</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245A17C59E17B9F2E42D0D6A81D80109_43</vt:lpwstr>
  </property>
  <property fmtid="{D5CDD505-2E9C-101B-9397-08002B2CF9AE}" pid="4" name="KSOTemplateDocerSaveRecord">
    <vt:lpwstr>eyJoZGlkIjoiNzdmOTU0NzZmNDI3NDNjYmVjZTJiN2NiNmE1NTUwZjciLCJ1c2VySWQiOiI0MDk1MTczODYifQ==</vt:lpwstr>
  </property>
</Properties>
</file>