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2CCBA">
      <w:pPr>
        <w:jc w:val="left"/>
        <w:rPr>
          <w:rFonts w:hint="default" w:ascii="Times New Roman" w:hAnsi="Times New Roman" w:eastAsia="黑体" w:cs="Times New Roman"/>
          <w:sz w:val="32"/>
          <w:szCs w:val="32"/>
          <w:lang w:eastAsia="zh"/>
        </w:rPr>
      </w:pPr>
      <w:r>
        <w:rPr>
          <w:rFonts w:hint="default" w:ascii="Times New Roman" w:hAnsi="Times New Roman" w:eastAsia="黑体" w:cs="Times New Roman"/>
          <w:sz w:val="32"/>
          <w:szCs w:val="32"/>
          <w:lang w:eastAsia="zh"/>
        </w:rPr>
        <w:t>附件</w:t>
      </w:r>
    </w:p>
    <w:p w14:paraId="09A8774B">
      <w:pPr>
        <w:jc w:val="center"/>
        <w:rPr>
          <w:rFonts w:hint="default" w:ascii="Times New Roman" w:hAnsi="Times New Roman" w:eastAsia="方正小标宋简体" w:cs="Times New Roman"/>
          <w:sz w:val="44"/>
          <w:szCs w:val="44"/>
          <w:lang w:eastAsia="zh"/>
        </w:rPr>
      </w:pPr>
      <w:r>
        <w:rPr>
          <w:rFonts w:hint="default" w:ascii="Times New Roman" w:hAnsi="Times New Roman" w:eastAsia="方正小标宋简体" w:cs="Times New Roman"/>
          <w:sz w:val="44"/>
          <w:szCs w:val="44"/>
        </w:rPr>
        <w:t>广东省智慧交通典型案例</w:t>
      </w:r>
      <w:r>
        <w:rPr>
          <w:rFonts w:hint="default" w:ascii="Times New Roman" w:hAnsi="Times New Roman" w:eastAsia="方正小标宋简体" w:cs="Times New Roman"/>
          <w:sz w:val="44"/>
          <w:szCs w:val="44"/>
          <w:lang w:eastAsia="zh"/>
        </w:rPr>
        <w:t>名单</w:t>
      </w:r>
    </w:p>
    <w:p w14:paraId="34D76839">
      <w:pPr>
        <w:rPr>
          <w:rFonts w:hint="default" w:ascii="Times New Roman" w:hAnsi="Times New Roman" w:cs="Times New Roman"/>
        </w:rPr>
      </w:pP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3578"/>
        <w:gridCol w:w="3569"/>
        <w:gridCol w:w="6889"/>
      </w:tblGrid>
      <w:tr w14:paraId="5F81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37F2C">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lang w:val="en-US" w:eastAsia="zh-CN"/>
              </w:rPr>
            </w:pPr>
            <w:r>
              <w:rPr>
                <w:rFonts w:hint="default" w:ascii="Times New Roman" w:hAnsi="Times New Roman" w:eastAsia="黑体" w:cs="Times New Roman"/>
                <w:b w:val="0"/>
                <w:bCs w:val="0"/>
                <w:i w:val="0"/>
                <w:iCs w:val="0"/>
                <w:color w:val="000000"/>
                <w:sz w:val="22"/>
                <w:szCs w:val="22"/>
                <w:u w:val="none"/>
                <w:lang w:val="en-US" w:eastAsia="zh-CN"/>
              </w:rPr>
              <w:t>序号</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B8D59">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0"/>
                <w:szCs w:val="20"/>
                <w:u w:val="none"/>
              </w:rPr>
            </w:pPr>
            <w:r>
              <w:rPr>
                <w:rFonts w:hint="default" w:ascii="Times New Roman" w:hAnsi="Times New Roman" w:eastAsia="黑体" w:cs="Times New Roman"/>
                <w:b w:val="0"/>
                <w:bCs w:val="0"/>
                <w:i w:val="0"/>
                <w:iCs w:val="0"/>
                <w:color w:val="000000"/>
                <w:kern w:val="0"/>
                <w:sz w:val="20"/>
                <w:szCs w:val="20"/>
                <w:u w:val="none"/>
                <w:lang w:val="en-US" w:eastAsia="zh-CN" w:bidi="ar"/>
              </w:rPr>
              <w:t>典型案例名称</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DC38E">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0"/>
                <w:szCs w:val="20"/>
                <w:u w:val="none"/>
              </w:rPr>
            </w:pPr>
            <w:r>
              <w:rPr>
                <w:rFonts w:hint="default" w:ascii="Times New Roman" w:hAnsi="Times New Roman" w:eastAsia="黑体" w:cs="Times New Roman"/>
                <w:b w:val="0"/>
                <w:bCs w:val="0"/>
                <w:i w:val="0"/>
                <w:iCs w:val="0"/>
                <w:color w:val="000000"/>
                <w:kern w:val="0"/>
                <w:sz w:val="20"/>
                <w:szCs w:val="20"/>
                <w:u w:val="none"/>
                <w:lang w:val="en-US" w:eastAsia="zh-CN" w:bidi="ar"/>
              </w:rPr>
              <w:t>申报单位</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24FDC">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0"/>
                <w:szCs w:val="20"/>
                <w:u w:val="none"/>
              </w:rPr>
            </w:pPr>
            <w:r>
              <w:rPr>
                <w:rFonts w:hint="default" w:ascii="Times New Roman" w:hAnsi="Times New Roman" w:eastAsia="黑体" w:cs="Times New Roman"/>
                <w:b w:val="0"/>
                <w:bCs w:val="0"/>
                <w:i w:val="0"/>
                <w:iCs w:val="0"/>
                <w:color w:val="000000"/>
                <w:kern w:val="0"/>
                <w:sz w:val="20"/>
                <w:szCs w:val="20"/>
                <w:u w:val="none"/>
                <w:lang w:val="en-US" w:eastAsia="zh-CN" w:bidi="ar"/>
              </w:rPr>
              <w:t>案例简要描述</w:t>
            </w:r>
          </w:p>
        </w:tc>
      </w:tr>
      <w:tr w14:paraId="10F4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6AD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4D7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基于数字底座的交通基础设施数字化转型关键技术研究及应用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3C7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广东省交通集团有限公司、广东利通科技投资有限公司</w:t>
            </w:r>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95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于“云网图数”基本骨架，建成全国首个省级超万公里高精度数字底图，沉淀了“汇、治、算、服”的数字底座技术框架与应用体系。首推硬件服务化（Haas）理念，统一外场设备物联接入方式，接入效率提升100%，从源头提升接入数据质量；创新了训推一体、一云多边的行业用体系，视频监控异常事件误报率降低50%；赋能交通领域“管养运服”业务应用，实现了“三融五跨”（技术融合/业务融合/数据融合、跨层级/跨地域/跨系统/跨部门/跨业务）、“三通一平”（数据通/地域通/业务通/软件一平台）的能力；支撑了低空应用和数据运营等新业态孵化。</w:t>
            </w:r>
          </w:p>
        </w:tc>
      </w:tr>
      <w:tr w14:paraId="16FA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C1A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2D2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基于交通部标准的超大城市公交地铁一码通行示范应用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57B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广州市公共交通数据管理中心有限公司、广州地铁集团有限公司、广州羊城通有限公司</w:t>
            </w:r>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46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州市公共交通乘车码以交通部标准为依托的“一码通行”智慧出行体系，突破区域与支付方式壁垒，打造公共交通移动支付新范式。自主研发多模态支付终端集成交通卡、多平台扫码（含港澳支付）、生物识别等全支付方式，实现“一次绑定、全域通行”，公交电子支付率提升至95%；创新构建“湾区码”实现穗佛港澳等7城跨城便捷通行，累计注册用户超1亿。乘车码驱动的城市级MaaS平台，提供“规划-支付-激励”全流程服务，同时，融合优惠政策，实现卡码同享，“多用多惠”的精准补贴模式。项目显著提升出行便捷性与管理效率，节约社会运营成本，推动公交服务迈向智能化、一体化新阶段。</w:t>
            </w:r>
          </w:p>
        </w:tc>
      </w:tr>
      <w:tr w14:paraId="0A2E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2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EF0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广州基于公交车既有视频的道路异常智能巡检技术研发与规模化应用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96C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广州市交通运输局、广州交信投科技股份有限公司</w:t>
            </w:r>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F8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国内首例规模化应用万辆级公交车既有车头视频辅助道路智能管养的案例，无需额外增加硬件设备，无需另设专用车辆及专人驾驶，以较低成本规模化实现“公交车辆+智慧养护”跨界融合。将人工智能与机器视觉技术深度融合与应用，对视图数据进行智能解析与特征提取，识别路面坑槽、龟裂、裂缝、违规占道施工等道路异常情况，构建“动态感知网络 + AI 中枢处理 + 业务闭环管理"道路智能管养模式，具有绿色低碳的可持续价值，可拓展至裸土扬尘、交通执法、交通行业监管等多种场景。应用覆盖全市超万辆公交车，近1000条线路，月均产生道路异常线索超2000宗，与传统人工巡检形成互补，有效提升巡检的覆盖范围和频次。</w:t>
            </w:r>
          </w:p>
        </w:tc>
      </w:tr>
      <w:tr w14:paraId="662F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544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034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港珠澳大桥数字化工程建设与运维应用实践</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790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港珠澳大桥管理局、云基智慧工程股份有限公司、浙大网新科技股份有限公司、中国船舶集团有限公司第七二二研究所</w:t>
            </w:r>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BC8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针对港珠澳大桥服役状态感知、结构评估和运行安全管控的关键需求，构建了6大类桥岛隧智能运维数据标准体系；建立了基于国产化三维模型的数字孪生业务智联平台；研发了13台套基于无人搭载平台的桥岛隧智能巡检技术及装备；提出了交通基础设施“结构监测-资产管理-性能评估-科学决策”的全链条数字化维养提升模式；构建了交通运行风险感知与应急主动管控体系，最终通过智能化、大数据等数字化手段建立“数据集成-业务集成-展示集成”的数字港珠澳大桥。</w:t>
            </w:r>
          </w:p>
        </w:tc>
      </w:tr>
      <w:tr w14:paraId="443C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969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95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广州港南沙四期全自动化集装箱码头智能管控系统技术与应用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48E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广州港股份有限公司、广州南沙联合集装箱码头有限公司、中山大学、上海振华重工（集团）股份有限公司、中交第四航务工程勘察设计院有限公司</w:t>
            </w:r>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D0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本案例建成4个5-10万吨级泊位及12个驳船泊位，设计年通过能力490万TEU，打造全自动化集装箱码头。研发了多模态融合定位的轻量化智能导引车和全自动化协同调度系统，突破国外技术垄断，形成自主知识产权的智能调度与码头生产操作系统，实现了“基于北斗导航的无人驾驶水平运输智能导引车（IGV）+单小车自动化岸桥+堆场平行布置侧面装卸+全国产信息系统+港区全自动化”的全自动化集装箱码头模式创新。港区零排放，相较于同等体量的传统码头节省70%人力成本，全方位提升了码头的安全性和服务质量，可推广至矿山、运输、仓储多个物流行业。</w:t>
            </w:r>
          </w:p>
        </w:tc>
      </w:tr>
      <w:tr w14:paraId="5F93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72F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8EE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广东省“两客一危一重”车辆智能视频监控报警技术推广应用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193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广东省道路运输事务中心、广东粤运交通股份有限公司</w:t>
            </w:r>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D7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全国首个实现省域全量客运（含农村客运）、危运、重型货车数据直连政府监管系统，覆盖省、市、县管理部门及运输企业的智能监管体系。项目针对道路运输事故高发态势，运用大数据、AI 等技术构建“3+N”体系与“四级联动”模式，纵向贯通省、市、县三级管理部门和道路运输企业，横向协同公安、应急、保险等多部门，实现数据同源、监管同步、闭环管理。项目应用成效显著，2021 - 2024 年全省道路运输事故起数和死亡人数持续下降，推动行业管理，有效压实运输企业的主体责任与属地管理部门的监管责任。</w:t>
            </w:r>
          </w:p>
        </w:tc>
      </w:tr>
      <w:tr w14:paraId="3659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79E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F97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eastAsia="zh"/>
              </w:rPr>
            </w:pPr>
            <w:r>
              <w:rPr>
                <w:rFonts w:hint="default" w:ascii="Times New Roman" w:hAnsi="Times New Roman" w:eastAsia="宋体" w:cs="Times New Roman"/>
                <w:i w:val="0"/>
                <w:iCs w:val="0"/>
                <w:color w:val="000000"/>
                <w:kern w:val="0"/>
                <w:sz w:val="20"/>
                <w:szCs w:val="20"/>
                <w:u w:val="none"/>
                <w:lang w:val="en-US" w:eastAsia="zh" w:bidi="ar"/>
              </w:rPr>
              <w:t>锚地直提快速通关智能协同监管创新应用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43D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广州港船务有限公司、广州港数据科技有限公司</w:t>
            </w:r>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B24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海上散货码头”监管模式创新，将海关查验环节从传统陆上码头前移至海上锚地，为解决海上锚地信号弱、无固定监管区、监管效率低等问题，通过“五个一”智能协同监管技术体系（5G智慧船舶通讯系统、数智口岸平台系统、“全球眼”智慧监管系统、“电子围栏+AI智能”系统、货物“三维激光计量”系统）破解海上锚地监管、通关难题，实现“锚地直提，快速通关”，大幅提升物流效率；单批次作业申报效率提升70%、作业效率提升40%、货物损耗降低3‰。应用以来，累计作业货物超1500万吨，降低企业综合物流成本50%，减少碳排放30%。项目并获4项软件著作权，模式可拆解、可复制，易推广至其他港口。</w:t>
            </w:r>
          </w:p>
        </w:tc>
      </w:tr>
      <w:tr w14:paraId="4E91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33D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A55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广珠西线高速公路荔湾南智慧收费站</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021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广东广珠西线高速公路有限公司、广东利通科技投资有限公司</w:t>
            </w:r>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635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聚焦“收费智慧化、营运数字化”打造自动无人值守、集约化智能设备、数字孪生全时域全场景可视化的智慧收费站，解决超大车流营运保畅难点，提升通行效率和服务品质。基于集团高精度底图构建数字孪生底座实现全息感知，创新“主线-广场-车道-设备”四级诱导体系，建立“自助+远程+现场”特情三级响应模式，部署ETC车道云化、潮汐机器人、自助设备等智能设备，构建“效能医生”量化19项指标实现“评-诊-治-监”动态优化，通过对车道窄岛化、无岛化布局设计以及设备集约化，提升空间利用率30%，实现收费站单车平均通行时间下降10%，ETC特情处理响应效率提升40%，每年可降低人工及运维成本约340万元。项目成果《高速公路智慧收费站建设技术指南》纳入广东省地方标准制修订计划，提供可复制推广的智慧场景和应用标准。</w:t>
            </w:r>
          </w:p>
        </w:tc>
      </w:tr>
      <w:tr w14:paraId="78A9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54E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A58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广东航道智慧指尖查询服务体系</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DD6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广东省航道事务中心、广东省航道测绘中心（广东省航道技术保障中心）、数字广东网络</w:t>
            </w:r>
            <w:r>
              <w:rPr>
                <w:rFonts w:hint="eastAsia" w:ascii="Times New Roman" w:hAnsi="Times New Roman" w:eastAsia="宋体" w:cs="Times New Roman"/>
                <w:i w:val="0"/>
                <w:iCs w:val="0"/>
                <w:color w:val="000000"/>
                <w:kern w:val="0"/>
                <w:sz w:val="20"/>
                <w:szCs w:val="20"/>
                <w:u w:val="none"/>
                <w:lang w:val="en-US" w:eastAsia="zh-CN" w:bidi="ar"/>
              </w:rPr>
              <w:t>建设</w:t>
            </w:r>
            <w:r>
              <w:rPr>
                <w:rFonts w:hint="default" w:ascii="Times New Roman" w:hAnsi="Times New Roman" w:eastAsia="宋体" w:cs="Times New Roman"/>
                <w:i w:val="0"/>
                <w:iCs w:val="0"/>
                <w:color w:val="000000"/>
                <w:kern w:val="0"/>
                <w:sz w:val="20"/>
                <w:szCs w:val="20"/>
                <w:u w:val="none"/>
                <w:lang w:val="en-US" w:eastAsia="zh-CN" w:bidi="ar"/>
              </w:rPr>
              <w:t>有限公司</w:t>
            </w:r>
            <w:bookmarkStart w:id="0" w:name="_GoBack"/>
            <w:bookmarkEnd w:id="0"/>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95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深度整合智慧航道建设成果，打造面向公众的"一站式"掌上服务体系，集成高精度电子航道图、水位监测、船闸调度、桥梁净高等9项助航信息服务。依托"粤省事"平台创建粤交通服务专区智慧航道专题，同步推出"粤航通"APP公众版，实现航道动态可视化与实时助航信息推送。创新研发基于历史AIS数据的GeoHash网格寻路算法，提供船舶智能航线推荐；通过多传感器融合技术实现船闸集群智能调度，支持船舶"一键申报、全线通闸"，北江船舶过闸时间从2-3天压缩至8小时内，显著提升航运效率与用户体验。</w:t>
            </w:r>
          </w:p>
        </w:tc>
      </w:tr>
      <w:tr w14:paraId="7D68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682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6DF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基于多式交通数据融合的粤港澳大湾区“一票式”联程客运服务示范应用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6C6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广东岭南通股份有限公司、广东南粤通客运联网中心有限公司</w:t>
            </w:r>
          </w:p>
        </w:tc>
        <w:tc>
          <w:tcPr>
            <w:tcW w:w="6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74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构建省级多式交通数据融合平台，创新实现公交、地铁、道路客运、水路客运及跨境服务的“一票制”联程出行。整合广东省12市公交码、港澳搭车码、4条城际轨道及30条跨境航线，通过统一账户、支付、清算体系，提供多语言支持与分段验检服务。依托大数据与AI算法动态优化出行方案，推动“人找车”向“车找人”模式转型。截至2025年6月，平台用户量达71万，月交易额61万元，跨境效率提升30%，形成跨区域智慧出行解决方案。</w:t>
            </w:r>
          </w:p>
        </w:tc>
      </w:tr>
    </w:tbl>
    <w:p w14:paraId="4F4B6725">
      <w:pPr>
        <w:rPr>
          <w:rFonts w:hint="default" w:ascii="Times New Roman" w:hAnsi="Times New Roman" w:cs="Times New Roma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E978CA-CD5E-4D80-98D3-E1A2AAFD4F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622D956-5122-4391-B9A5-4FB467E7D921}"/>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A4AB2"/>
    <w:rsid w:val="1EBE5885"/>
    <w:rsid w:val="2B735258"/>
    <w:rsid w:val="2EEBA08B"/>
    <w:rsid w:val="4D4A1240"/>
    <w:rsid w:val="54FC159F"/>
    <w:rsid w:val="5A672EFE"/>
    <w:rsid w:val="6EE7B4C4"/>
    <w:rsid w:val="7DB46DBC"/>
    <w:rsid w:val="BA7F8036"/>
    <w:rsid w:val="DBF23A9F"/>
    <w:rsid w:val="EFCFC6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3123</Words>
  <Characters>3205</Characters>
  <Lines>0</Lines>
  <Paragraphs>0</Paragraphs>
  <TotalTime>0</TotalTime>
  <ScaleCrop>false</ScaleCrop>
  <LinksUpToDate>false</LinksUpToDate>
  <CharactersWithSpaces>3214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2025-06-25T01:26:00Z</dcterms:created>
  <dc:creator>Administrator</dc:creator>
  <cp:lastModifiedBy>Ghost</cp:lastModifiedBy>
  <dcterms:modified xsi:type="dcterms:W3CDTF">2025-07-04T09:11:30Z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eyJoZGlkIjoiOGU1ZGVlZjAyYzkyNWJiNTBhYmQ5ZWVjZGM1NTg5ODIiLCJ1c2VySWQiOiIyODc3ODYzNzIifQ==</vt:lpwstr>
  </property>
  <property fmtid="{D5CDD505-2E9C-101B-9397-08002B2CF9AE}" pid="4" name="ICV">
    <vt:lpwstr>FF7F773F6B2B4B38A1CBCDD8FBC6CA40_13</vt:lpwstr>
  </property>
</Properties>
</file>