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省交通运输厅智慧航道系统融合项目第三方</w:t>
      </w:r>
      <w:r>
        <w:rPr>
          <w:rFonts w:hint="eastAsia" w:ascii="方正小标宋简体" w:hAnsi="方正小标宋简体" w:eastAsia="方正小标宋简体" w:cs="方正小标宋简体"/>
          <w:sz w:val="40"/>
          <w:szCs w:val="40"/>
          <w:lang w:val="en-US" w:eastAsia="zh-CN"/>
        </w:rPr>
        <w:t>测评</w:t>
      </w:r>
      <w:r>
        <w:rPr>
          <w:rFonts w:hint="eastAsia" w:ascii="方正小标宋简体" w:hAnsi="方正小标宋简体" w:eastAsia="方正小标宋简体" w:cs="方正小标宋简体"/>
          <w:sz w:val="40"/>
          <w:szCs w:val="40"/>
        </w:rPr>
        <w:t>服务采购意向公开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为便于供应商及时了解政府采购信息，按照《广东省航道事务中心采购管理办法》（粤航道〔2021〕274号）等有关规定，现将省交通运输厅智慧航道系统融合项目第三方服务采购意向公开如下：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tbl>
      <w:tblPr>
        <w:tblStyle w:val="8"/>
        <w:tblW w:w="14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42"/>
        <w:gridCol w:w="5520"/>
        <w:gridCol w:w="1488"/>
        <w:gridCol w:w="1164"/>
        <w:gridCol w:w="156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4" w:type="dxa"/>
            <w:vAlign w:val="center"/>
          </w:tcPr>
          <w:p>
            <w:pPr>
              <w:jc w:val="cente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t>序号</w:t>
            </w:r>
          </w:p>
        </w:tc>
        <w:tc>
          <w:tcPr>
            <w:tcW w:w="1542" w:type="dxa"/>
            <w:vAlign w:val="center"/>
          </w:tcPr>
          <w:p>
            <w:pPr>
              <w:jc w:val="cente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t>采购项目名称</w:t>
            </w:r>
          </w:p>
        </w:tc>
        <w:tc>
          <w:tcPr>
            <w:tcW w:w="5520" w:type="dxa"/>
            <w:vAlign w:val="center"/>
          </w:tcPr>
          <w:p>
            <w:pPr>
              <w:jc w:val="cente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t>采购需求概况</w:t>
            </w:r>
          </w:p>
        </w:tc>
        <w:tc>
          <w:tcPr>
            <w:tcW w:w="1488" w:type="dxa"/>
            <w:vAlign w:val="center"/>
          </w:tcPr>
          <w:p>
            <w:pPr>
              <w:jc w:val="cente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t>落实政府采购政策情况</w:t>
            </w:r>
          </w:p>
        </w:tc>
        <w:tc>
          <w:tcPr>
            <w:tcW w:w="1164" w:type="dxa"/>
            <w:vAlign w:val="center"/>
          </w:tcPr>
          <w:p>
            <w:pPr>
              <w:jc w:val="cente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t>预算金额</w:t>
            </w:r>
          </w:p>
          <w:p>
            <w:pPr>
              <w:jc w:val="cente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t>（万元）</w:t>
            </w:r>
          </w:p>
        </w:tc>
        <w:tc>
          <w:tcPr>
            <w:tcW w:w="1560" w:type="dxa"/>
            <w:vAlign w:val="center"/>
          </w:tcPr>
          <w:p>
            <w:pPr>
              <w:jc w:val="cente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t>预计采购时间</w:t>
            </w:r>
          </w:p>
        </w:tc>
        <w:tc>
          <w:tcPr>
            <w:tcW w:w="2430" w:type="dxa"/>
            <w:vAlign w:val="center"/>
          </w:tcPr>
          <w:p>
            <w:pPr>
              <w:jc w:val="cente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pPr>
            <w:r>
              <w:rPr>
                <w:rFonts w:hint="eastAsia" w:ascii="仿宋_GB2312" w:hAnsi="仿宋_GB2312" w:eastAsia="仿宋_GB2312" w:cs="仿宋_GB2312"/>
                <w:b/>
                <w:bCs/>
                <w:i w:val="0"/>
                <w:caps w:val="0"/>
                <w:color w:val="000000"/>
                <w:spacing w:val="0"/>
                <w:sz w:val="21"/>
                <w:szCs w:val="21"/>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4" w:hRule="atLeast"/>
          <w:jc w:val="center"/>
        </w:trPr>
        <w:tc>
          <w:tcPr>
            <w:tcW w:w="674" w:type="dxa"/>
            <w:vAlign w:val="center"/>
          </w:tcPr>
          <w:p>
            <w:pPr>
              <w:jc w:val="center"/>
              <w:rPr>
                <w:rFonts w:hint="default" w:ascii="宋体" w:hAnsi="宋体" w:eastAsia="宋体" w:cs="宋体"/>
                <w:i w:val="0"/>
                <w:caps w:val="0"/>
                <w:color w:val="000000"/>
                <w:spacing w:val="0"/>
                <w:sz w:val="32"/>
                <w:szCs w:val="32"/>
                <w:shd w:val="clear" w:fill="FFFFFF"/>
                <w:vertAlign w:val="baseline"/>
                <w:lang w:val="en-US" w:eastAsia="zh-CN"/>
              </w:rPr>
            </w:pPr>
            <w:r>
              <w:rPr>
                <w:rFonts w:hint="eastAsia" w:ascii="仿宋_GB2312" w:hAnsi="仿宋_GB2312" w:eastAsia="仿宋_GB2312" w:cs="仿宋_GB2312"/>
                <w:i w:val="0"/>
                <w:caps w:val="0"/>
                <w:color w:val="000000"/>
                <w:spacing w:val="0"/>
                <w:sz w:val="24"/>
                <w:szCs w:val="24"/>
                <w:shd w:val="clear" w:fill="FFFFFF"/>
                <w:vertAlign w:val="baseline"/>
                <w:lang w:val="en-US" w:eastAsia="zh-CN"/>
              </w:rPr>
              <w:t>1</w:t>
            </w:r>
          </w:p>
        </w:tc>
        <w:tc>
          <w:tcPr>
            <w:tcW w:w="1542" w:type="dxa"/>
            <w:vAlign w:val="center"/>
          </w:tcPr>
          <w:p>
            <w:pPr>
              <w:spacing w:line="36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rPr>
              <w:t>省交通运输厅智慧航道系统融合项目</w:t>
            </w:r>
            <w:r>
              <w:rPr>
                <w:rFonts w:hint="eastAsia" w:ascii="仿宋_GB2312" w:hAnsi="仿宋_GB2312" w:eastAsia="仿宋_GB2312" w:cs="仿宋_GB2312"/>
                <w:sz w:val="24"/>
                <w:lang w:val="en-US" w:eastAsia="zh-CN"/>
              </w:rPr>
              <w:t>第三方测评服务</w:t>
            </w:r>
          </w:p>
          <w:p>
            <w:pPr>
              <w:rPr>
                <w:rFonts w:hint="eastAsia" w:ascii="宋体" w:hAnsi="宋体" w:eastAsia="宋体" w:cs="宋体"/>
                <w:i w:val="0"/>
                <w:caps w:val="0"/>
                <w:color w:val="000000"/>
                <w:spacing w:val="0"/>
                <w:sz w:val="32"/>
                <w:szCs w:val="32"/>
                <w:shd w:val="clear" w:fill="FFFFFF"/>
                <w:vertAlign w:val="baseline"/>
                <w:lang w:val="en-US" w:eastAsia="zh-CN"/>
              </w:rPr>
            </w:pPr>
          </w:p>
        </w:tc>
        <w:tc>
          <w:tcPr>
            <w:tcW w:w="5520" w:type="dxa"/>
            <w:vAlign w:val="center"/>
          </w:tcPr>
          <w:p>
            <w:pPr>
              <w:spacing w:line="36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标的名称：</w:t>
            </w:r>
            <w:r>
              <w:rPr>
                <w:rFonts w:hint="eastAsia" w:ascii="仿宋_GB2312" w:hAnsi="仿宋_GB2312" w:eastAsia="仿宋_GB2312" w:cs="仿宋_GB2312"/>
                <w:sz w:val="24"/>
              </w:rPr>
              <w:t>省交通运输厅智慧航道系统融合</w:t>
            </w:r>
            <w:r>
              <w:rPr>
                <w:rFonts w:hint="eastAsia" w:ascii="仿宋_GB2312" w:hAnsi="仿宋_GB2312" w:eastAsia="仿宋_GB2312" w:cs="仿宋_GB2312"/>
                <w:sz w:val="24"/>
                <w:lang w:val="en-US" w:eastAsia="zh-CN"/>
              </w:rPr>
              <w:t>项目第三方服务</w:t>
            </w:r>
          </w:p>
          <w:p>
            <w:pPr>
              <w:pStyle w:val="9"/>
              <w:spacing w:line="360" w:lineRule="auto"/>
              <w:ind w:left="0" w:leftChars="0" w:firstLine="0" w:firstLine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标的数量：1</w:t>
            </w:r>
          </w:p>
          <w:p>
            <w:pPr>
              <w:pStyle w:val="9"/>
              <w:spacing w:line="36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color w:val="000000"/>
                <w:kern w:val="2"/>
                <w:sz w:val="24"/>
                <w:szCs w:val="24"/>
                <w:lang w:val="en-US" w:eastAsia="zh-CN" w:bidi="ar-SA"/>
              </w:rPr>
              <w:t>主要功能或目标：</w:t>
            </w:r>
            <w:r>
              <w:rPr>
                <w:rFonts w:hint="eastAsia" w:ascii="仿宋_GB2312" w:hAnsi="仿宋_GB2312" w:eastAsia="仿宋_GB2312" w:cs="仿宋_GB2312"/>
                <w:sz w:val="24"/>
                <w:lang w:eastAsia="zh-CN"/>
              </w:rPr>
              <w:t>提供</w:t>
            </w:r>
            <w:r>
              <w:rPr>
                <w:rFonts w:hint="eastAsia" w:ascii="仿宋_GB2312" w:hAnsi="仿宋_GB2312" w:eastAsia="仿宋_GB2312" w:cs="仿宋_GB2312"/>
                <w:sz w:val="24"/>
                <w:lang w:val="en-US" w:eastAsia="zh-CN"/>
              </w:rPr>
              <w:t>第三方测评</w:t>
            </w:r>
            <w:r>
              <w:rPr>
                <w:rFonts w:hint="eastAsia" w:ascii="仿宋_GB2312" w:hAnsi="仿宋_GB2312" w:eastAsia="仿宋_GB2312" w:cs="仿宋_GB2312"/>
                <w:sz w:val="24"/>
                <w:lang w:eastAsia="zh-CN"/>
              </w:rPr>
              <w:t>服务（包括</w:t>
            </w:r>
            <w:r>
              <w:rPr>
                <w:rFonts w:hint="eastAsia" w:ascii="仿宋_GB2312" w:hAnsi="仿宋_GB2312" w:eastAsia="仿宋_GB2312" w:cs="仿宋_GB2312"/>
                <w:sz w:val="24"/>
                <w:lang w:val="en-US" w:eastAsia="zh-CN"/>
              </w:rPr>
              <w:t>验收测评服务、网络安全等级保护测评服务、商用密码应用安全性评估服务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p>
          <w:p>
            <w:pPr>
              <w:pStyle w:val="9"/>
              <w:spacing w:line="360" w:lineRule="auto"/>
              <w:ind w:left="0" w:leftChars="0" w:firstLine="0" w:firstLineChars="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需满足的要求：按照采购需求所列服务内容及相关指标、验收标准等提供服务。</w:t>
            </w:r>
          </w:p>
        </w:tc>
        <w:tc>
          <w:tcPr>
            <w:tcW w:w="1488" w:type="dxa"/>
            <w:vAlign w:val="center"/>
          </w:tcPr>
          <w:p>
            <w:pPr>
              <w:pStyle w:val="9"/>
              <w:spacing w:line="360" w:lineRule="auto"/>
              <w:ind w:left="0" w:leftChars="0" w:firstLine="0" w:firstLine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p>
        </w:tc>
        <w:tc>
          <w:tcPr>
            <w:tcW w:w="1164" w:type="dxa"/>
            <w:vAlign w:val="center"/>
          </w:tcPr>
          <w:p>
            <w:pPr>
              <w:pStyle w:val="9"/>
              <w:spacing w:line="360" w:lineRule="auto"/>
              <w:ind w:left="0" w:leftChars="0" w:firstLine="0" w:firstLineChars="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lang w:val="en-US" w:eastAsia="zh-CN"/>
              </w:rPr>
              <w:t>38.8</w:t>
            </w:r>
          </w:p>
        </w:tc>
        <w:tc>
          <w:tcPr>
            <w:tcW w:w="1560" w:type="dxa"/>
            <w:vAlign w:val="center"/>
          </w:tcPr>
          <w:p>
            <w:pPr>
              <w:pStyle w:val="9"/>
              <w:spacing w:line="360" w:lineRule="auto"/>
              <w:ind w:left="0" w:leftChars="0"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2025年9月</w:t>
            </w:r>
          </w:p>
        </w:tc>
        <w:tc>
          <w:tcPr>
            <w:tcW w:w="2430" w:type="dxa"/>
            <w:vAlign w:val="center"/>
          </w:tcPr>
          <w:p>
            <w:pPr>
              <w:widowControl/>
              <w:spacing w:line="600" w:lineRule="exact"/>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highlight w:val="none"/>
              </w:rPr>
              <w:t>跨年</w:t>
            </w:r>
            <w:r>
              <w:rPr>
                <w:rFonts w:hint="eastAsia" w:ascii="仿宋_GB2312" w:hAnsi="仿宋_GB2312" w:eastAsia="仿宋_GB2312" w:cs="仿宋_GB2312"/>
                <w:sz w:val="24"/>
                <w:highlight w:val="none"/>
                <w:lang w:val="en-US" w:eastAsia="zh-CN"/>
              </w:rPr>
              <w:t>项目，分3个财年（2025-2027年）</w:t>
            </w:r>
            <w:r>
              <w:rPr>
                <w:rFonts w:hint="eastAsia" w:ascii="仿宋_GB2312" w:hAnsi="仿宋_GB2312" w:eastAsia="仿宋_GB2312" w:cs="仿宋_GB2312"/>
                <w:sz w:val="24"/>
                <w:highlight w:val="none"/>
              </w:rPr>
              <w:t>安排资金</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2025年安排11.64万元，2026-2027</w:t>
            </w:r>
            <w:r>
              <w:rPr>
                <w:rFonts w:hint="eastAsia" w:ascii="仿宋_GB2312" w:hAnsi="仿宋_GB2312" w:eastAsia="仿宋_GB2312" w:cs="仿宋_GB2312"/>
                <w:sz w:val="24"/>
                <w:highlight w:val="none"/>
              </w:rPr>
              <w:t>年度安排</w:t>
            </w:r>
            <w:r>
              <w:rPr>
                <w:rFonts w:hint="eastAsia" w:ascii="仿宋_GB2312" w:hAnsi="仿宋_GB2312" w:eastAsia="仿宋_GB2312" w:cs="仿宋_GB2312"/>
                <w:sz w:val="24"/>
                <w:highlight w:val="none"/>
                <w:lang w:val="en-US" w:eastAsia="zh-CN"/>
              </w:rPr>
              <w:t>27.16万元。</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广东省航道事务中心</w:t>
      </w: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bookmarkStart w:id="0" w:name="_GoBack"/>
      <w:bookmarkEnd w:id="0"/>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D5414"/>
    <w:rsid w:val="0AF25902"/>
    <w:rsid w:val="10386FF1"/>
    <w:rsid w:val="105B1B61"/>
    <w:rsid w:val="1142508C"/>
    <w:rsid w:val="119C05F5"/>
    <w:rsid w:val="16A77C92"/>
    <w:rsid w:val="1C085F5B"/>
    <w:rsid w:val="219D6374"/>
    <w:rsid w:val="2A2E46F4"/>
    <w:rsid w:val="2EA1540F"/>
    <w:rsid w:val="2F4F682D"/>
    <w:rsid w:val="30772557"/>
    <w:rsid w:val="3A227FEF"/>
    <w:rsid w:val="401D0982"/>
    <w:rsid w:val="403B0B6F"/>
    <w:rsid w:val="443E03FE"/>
    <w:rsid w:val="47C21BE0"/>
    <w:rsid w:val="4ABF3D72"/>
    <w:rsid w:val="584A3253"/>
    <w:rsid w:val="63F25A88"/>
    <w:rsid w:val="71DA0A57"/>
    <w:rsid w:val="73D93DA0"/>
    <w:rsid w:val="746B740A"/>
    <w:rsid w:val="79875270"/>
    <w:rsid w:val="7A82098B"/>
    <w:rsid w:val="7EB93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840"/>
      <w:jc w:val="left"/>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正文-方案"/>
    <w:basedOn w:val="1"/>
    <w:qFormat/>
    <w:uiPriority w:val="0"/>
    <w:pPr>
      <w:keepNext w:val="0"/>
      <w:keepLines w:val="0"/>
      <w:widowControl/>
      <w:suppressLineNumbers w:val="0"/>
      <w:spacing w:before="0" w:beforeAutospacing="0" w:after="0" w:afterAutospacing="0"/>
      <w:ind w:left="0" w:right="0" w:firstLine="560" w:firstLineChars="200"/>
      <w:jc w:val="both"/>
    </w:pPr>
    <w:rPr>
      <w:rFonts w:hint="default" w:ascii="Times New Roman" w:hAnsi="Times New Roman" w:eastAsia="宋体" w:cs="宋体"/>
      <w:kern w:val="0"/>
      <w:sz w:val="28"/>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2025-06-19T02:19:00Z</dcterms:created>
  <dc:creator>QGLin</dc:creator>
  <cp:lastModifiedBy>董新意</cp:lastModifiedBy>
  <dcterms:modified xsi:type="dcterms:W3CDTF">2025-07-03T04:29:47Z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08725FBA6088404DA5C26B4B8A5195F4</vt:lpwstr>
  </property>
</Properties>
</file>