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64DC1" w14:textId="77777777" w:rsidR="00DB642A" w:rsidRDefault="00DB642A">
      <w:pPr>
        <w:pStyle w:val="p1"/>
        <w:spacing w:line="560" w:lineRule="exact"/>
        <w:jc w:val="center"/>
        <w:rPr>
          <w:rStyle w:val="s1"/>
          <w:rFonts w:ascii="Times New Roman" w:hAnsi="Times New Roman" w:cs="Times New Roman"/>
          <w:b/>
          <w:color w:val="000000"/>
          <w:sz w:val="28"/>
          <w:szCs w:val="28"/>
        </w:rPr>
      </w:pPr>
      <w:bookmarkStart w:id="0" w:name="_Hlk80350998"/>
      <w:bookmarkEnd w:id="0"/>
    </w:p>
    <w:p w14:paraId="5131D73A" w14:textId="77777777" w:rsidR="00DB642A" w:rsidRDefault="00DB642A">
      <w:pPr>
        <w:pStyle w:val="p1"/>
        <w:spacing w:line="560" w:lineRule="exact"/>
        <w:jc w:val="center"/>
        <w:rPr>
          <w:rStyle w:val="s1"/>
          <w:rFonts w:ascii="Times New Roman" w:hAnsi="Times New Roman" w:cs="Times New Roman"/>
          <w:b/>
          <w:bCs/>
          <w:color w:val="000000"/>
          <w:sz w:val="44"/>
          <w:szCs w:val="44"/>
        </w:rPr>
      </w:pPr>
      <w:bookmarkStart w:id="1" w:name="_Hlk67584254"/>
    </w:p>
    <w:p w14:paraId="001ABE7D" w14:textId="77777777" w:rsidR="00DB642A" w:rsidRDefault="00DB642A">
      <w:pPr>
        <w:pStyle w:val="p1"/>
        <w:spacing w:line="560" w:lineRule="exact"/>
        <w:jc w:val="center"/>
        <w:rPr>
          <w:rStyle w:val="s1"/>
          <w:rFonts w:ascii="Times New Roman" w:hAnsi="Times New Roman" w:cs="Times New Roman"/>
          <w:b/>
          <w:bCs/>
          <w:color w:val="000000"/>
          <w:sz w:val="44"/>
          <w:szCs w:val="44"/>
        </w:rPr>
      </w:pPr>
    </w:p>
    <w:p w14:paraId="1D0A82E6" w14:textId="77777777" w:rsidR="00DB642A" w:rsidRDefault="00DB642A">
      <w:pPr>
        <w:pStyle w:val="p1"/>
        <w:spacing w:line="560" w:lineRule="exact"/>
        <w:jc w:val="center"/>
        <w:rPr>
          <w:rStyle w:val="s1"/>
          <w:rFonts w:ascii="Times New Roman" w:hAnsi="Times New Roman" w:cs="Times New Roman"/>
          <w:b/>
          <w:bCs/>
          <w:color w:val="000000"/>
          <w:sz w:val="44"/>
          <w:szCs w:val="44"/>
        </w:rPr>
      </w:pPr>
    </w:p>
    <w:p w14:paraId="374C81F4" w14:textId="77777777" w:rsidR="004E457D" w:rsidRDefault="00000000">
      <w:pPr>
        <w:spacing w:line="640" w:lineRule="exact"/>
        <w:jc w:val="center"/>
        <w:rPr>
          <w:rFonts w:ascii="黑体" w:eastAsia="黑体" w:hAnsi="黑体" w:cs="黑体" w:hint="eastAsia"/>
          <w:color w:val="000000" w:themeColor="text1"/>
          <w:sz w:val="48"/>
          <w:szCs w:val="40"/>
        </w:rPr>
      </w:pPr>
      <w:proofErr w:type="gramStart"/>
      <w:r w:rsidRPr="00C2741D">
        <w:rPr>
          <w:rFonts w:ascii="黑体" w:eastAsia="黑体" w:hAnsi="黑体" w:cs="黑体" w:hint="eastAsia"/>
          <w:color w:val="000000" w:themeColor="text1"/>
          <w:sz w:val="48"/>
          <w:szCs w:val="40"/>
        </w:rPr>
        <w:t>《</w:t>
      </w:r>
      <w:proofErr w:type="gramEnd"/>
      <w:r w:rsidR="00C2741D" w:rsidRPr="00C2741D">
        <w:rPr>
          <w:rFonts w:ascii="黑体" w:eastAsia="黑体" w:hAnsi="黑体" w:cs="黑体" w:hint="eastAsia"/>
          <w:color w:val="000000" w:themeColor="text1"/>
          <w:sz w:val="48"/>
          <w:szCs w:val="40"/>
        </w:rPr>
        <w:t xml:space="preserve">近零碳高速公路服务区技术指南 </w:t>
      </w:r>
    </w:p>
    <w:p w14:paraId="0D22520C" w14:textId="77777777" w:rsidR="00DB642A" w:rsidRPr="00C2741D" w:rsidRDefault="00C2741D">
      <w:pPr>
        <w:spacing w:line="640" w:lineRule="exact"/>
        <w:jc w:val="center"/>
        <w:rPr>
          <w:rFonts w:ascii="黑体" w:eastAsia="黑体" w:hAnsi="黑体" w:cs="黑体" w:hint="eastAsia"/>
          <w:color w:val="000000" w:themeColor="text1"/>
          <w:sz w:val="48"/>
          <w:szCs w:val="40"/>
        </w:rPr>
      </w:pPr>
      <w:r w:rsidRPr="00C2741D">
        <w:rPr>
          <w:rFonts w:ascii="黑体" w:eastAsia="黑体" w:hAnsi="黑体" w:cs="黑体" w:hint="eastAsia"/>
          <w:color w:val="000000" w:themeColor="text1"/>
          <w:sz w:val="48"/>
          <w:szCs w:val="40"/>
        </w:rPr>
        <w:t>建设要求与运营期评价》</w:t>
      </w:r>
    </w:p>
    <w:bookmarkEnd w:id="1"/>
    <w:p w14:paraId="78B2591E" w14:textId="77777777" w:rsidR="00DB642A" w:rsidRDefault="00000000">
      <w:pPr>
        <w:spacing w:line="640" w:lineRule="exact"/>
        <w:jc w:val="center"/>
        <w:rPr>
          <w:rFonts w:ascii="黑体" w:eastAsia="黑体" w:hAnsi="黑体" w:cs="黑体" w:hint="eastAsia"/>
          <w:color w:val="000000" w:themeColor="text1"/>
          <w:sz w:val="52"/>
          <w:szCs w:val="44"/>
        </w:rPr>
      </w:pPr>
      <w:r>
        <w:rPr>
          <w:rFonts w:ascii="黑体" w:eastAsia="黑体" w:hAnsi="黑体" w:cs="黑体" w:hint="eastAsia"/>
          <w:color w:val="000000" w:themeColor="text1"/>
          <w:sz w:val="52"/>
          <w:szCs w:val="44"/>
        </w:rPr>
        <w:t>（</w:t>
      </w:r>
      <w:r w:rsidR="00832C83">
        <w:rPr>
          <w:rFonts w:ascii="黑体" w:eastAsia="黑体" w:hAnsi="黑体" w:cs="黑体" w:hint="eastAsia"/>
          <w:color w:val="000000" w:themeColor="text1"/>
          <w:sz w:val="52"/>
          <w:szCs w:val="44"/>
        </w:rPr>
        <w:t>征求意见稿</w:t>
      </w:r>
      <w:r>
        <w:rPr>
          <w:rFonts w:ascii="黑体" w:eastAsia="黑体" w:hAnsi="黑体" w:cs="黑体" w:hint="eastAsia"/>
          <w:color w:val="000000" w:themeColor="text1"/>
          <w:sz w:val="52"/>
          <w:szCs w:val="44"/>
        </w:rPr>
        <w:t>）编制说明</w:t>
      </w:r>
    </w:p>
    <w:p w14:paraId="6D11CE07" w14:textId="77777777" w:rsidR="00DB642A" w:rsidRDefault="00DB642A">
      <w:pPr>
        <w:pStyle w:val="p1"/>
        <w:spacing w:line="560" w:lineRule="exact"/>
        <w:jc w:val="center"/>
        <w:rPr>
          <w:rStyle w:val="s1"/>
          <w:rFonts w:ascii="Times New Roman" w:hAnsi="Times New Roman" w:cs="Times New Roman"/>
          <w:b/>
          <w:color w:val="000000"/>
          <w:sz w:val="28"/>
          <w:szCs w:val="28"/>
        </w:rPr>
      </w:pPr>
    </w:p>
    <w:p w14:paraId="5F19E5BE" w14:textId="77777777" w:rsidR="00DB642A" w:rsidRDefault="00DB642A">
      <w:pPr>
        <w:pStyle w:val="p1"/>
        <w:spacing w:line="560" w:lineRule="exact"/>
        <w:jc w:val="center"/>
        <w:rPr>
          <w:rStyle w:val="s1"/>
          <w:rFonts w:ascii="Times New Roman" w:hAnsi="Times New Roman" w:cs="Times New Roman"/>
          <w:b/>
          <w:color w:val="000000"/>
          <w:sz w:val="28"/>
          <w:szCs w:val="28"/>
        </w:rPr>
      </w:pPr>
    </w:p>
    <w:p w14:paraId="7F8F85F5" w14:textId="77777777" w:rsidR="00DB642A" w:rsidRDefault="00DB642A">
      <w:pPr>
        <w:pStyle w:val="p1"/>
        <w:spacing w:line="560" w:lineRule="exact"/>
        <w:jc w:val="center"/>
        <w:rPr>
          <w:rStyle w:val="s1"/>
          <w:rFonts w:ascii="Times New Roman" w:hAnsi="Times New Roman" w:cs="Times New Roman"/>
          <w:b/>
          <w:color w:val="000000"/>
          <w:sz w:val="28"/>
          <w:szCs w:val="28"/>
        </w:rPr>
      </w:pPr>
    </w:p>
    <w:p w14:paraId="40130356" w14:textId="77777777" w:rsidR="00DB642A" w:rsidRDefault="00DB642A">
      <w:pPr>
        <w:pStyle w:val="p1"/>
        <w:spacing w:line="560" w:lineRule="exact"/>
        <w:jc w:val="center"/>
        <w:rPr>
          <w:rStyle w:val="s1"/>
          <w:rFonts w:ascii="Times New Roman" w:hAnsi="Times New Roman" w:cs="Times New Roman"/>
          <w:b/>
          <w:color w:val="000000"/>
          <w:sz w:val="28"/>
          <w:szCs w:val="28"/>
        </w:rPr>
      </w:pPr>
    </w:p>
    <w:p w14:paraId="3473D37C" w14:textId="77777777" w:rsidR="00DB642A" w:rsidRDefault="00DB642A">
      <w:pPr>
        <w:pStyle w:val="p1"/>
        <w:spacing w:line="560" w:lineRule="exact"/>
        <w:jc w:val="center"/>
        <w:rPr>
          <w:rStyle w:val="s1"/>
          <w:rFonts w:ascii="Times New Roman" w:hAnsi="Times New Roman" w:cs="Times New Roman"/>
          <w:b/>
          <w:color w:val="000000"/>
          <w:sz w:val="28"/>
          <w:szCs w:val="28"/>
        </w:rPr>
      </w:pPr>
    </w:p>
    <w:p w14:paraId="5A84FC56" w14:textId="77777777" w:rsidR="00DB642A" w:rsidRDefault="00DB642A">
      <w:pPr>
        <w:pStyle w:val="p1"/>
        <w:spacing w:line="560" w:lineRule="exact"/>
        <w:jc w:val="center"/>
        <w:rPr>
          <w:rStyle w:val="s1"/>
          <w:rFonts w:ascii="Times New Roman" w:hAnsi="Times New Roman" w:cs="Times New Roman"/>
          <w:b/>
          <w:color w:val="000000"/>
          <w:sz w:val="28"/>
          <w:szCs w:val="28"/>
        </w:rPr>
      </w:pPr>
    </w:p>
    <w:p w14:paraId="3AD1433D" w14:textId="77777777" w:rsidR="00DB642A" w:rsidRDefault="00DB642A">
      <w:pPr>
        <w:pStyle w:val="p1"/>
        <w:spacing w:line="560" w:lineRule="exact"/>
        <w:jc w:val="center"/>
        <w:rPr>
          <w:rStyle w:val="s1"/>
          <w:rFonts w:ascii="Times New Roman" w:hAnsi="Times New Roman" w:cs="Times New Roman"/>
          <w:b/>
          <w:color w:val="000000"/>
          <w:sz w:val="28"/>
          <w:szCs w:val="28"/>
        </w:rPr>
      </w:pPr>
    </w:p>
    <w:p w14:paraId="090D4664" w14:textId="77777777" w:rsidR="00DB642A" w:rsidRDefault="00DB642A">
      <w:pPr>
        <w:pStyle w:val="p1"/>
        <w:spacing w:line="560" w:lineRule="exact"/>
        <w:jc w:val="center"/>
        <w:rPr>
          <w:rStyle w:val="s1"/>
          <w:rFonts w:ascii="Times New Roman" w:hAnsi="Times New Roman" w:cs="Times New Roman"/>
          <w:b/>
          <w:color w:val="000000"/>
          <w:sz w:val="28"/>
          <w:szCs w:val="28"/>
        </w:rPr>
      </w:pPr>
    </w:p>
    <w:p w14:paraId="5D522BE4" w14:textId="77777777" w:rsidR="00DB642A" w:rsidRDefault="00000000">
      <w:pPr>
        <w:pStyle w:val="p1"/>
        <w:spacing w:line="560" w:lineRule="exact"/>
        <w:jc w:val="center"/>
        <w:rPr>
          <w:rFonts w:ascii="黑体" w:eastAsia="黑体" w:hAnsi="黑体" w:cs="黑体" w:hint="eastAsia"/>
          <w:color w:val="000000" w:themeColor="text1"/>
          <w:kern w:val="2"/>
          <w:sz w:val="32"/>
          <w:szCs w:val="32"/>
        </w:rPr>
      </w:pPr>
      <w:r>
        <w:rPr>
          <w:rFonts w:ascii="黑体" w:eastAsia="黑体" w:hAnsi="黑体" w:cs="黑体" w:hint="eastAsia"/>
          <w:color w:val="000000" w:themeColor="text1"/>
          <w:kern w:val="2"/>
          <w:sz w:val="32"/>
          <w:szCs w:val="32"/>
        </w:rPr>
        <w:t>广东省交通规划设计研究院集团股份有限公司</w:t>
      </w:r>
    </w:p>
    <w:p w14:paraId="346AA132" w14:textId="77777777" w:rsidR="00DB642A" w:rsidRDefault="00000000">
      <w:pPr>
        <w:spacing w:line="560" w:lineRule="exact"/>
        <w:jc w:val="center"/>
        <w:rPr>
          <w:rFonts w:eastAsia="仿宋_GB2312" w:cs="Times New Roman"/>
          <w:color w:val="000000" w:themeColor="text1"/>
          <w:sz w:val="32"/>
          <w:szCs w:val="32"/>
        </w:rPr>
        <w:sectPr w:rsidR="00DB642A">
          <w:pgSz w:w="11906" w:h="16838"/>
          <w:pgMar w:top="1440" w:right="1800" w:bottom="1440" w:left="1800" w:header="851" w:footer="992" w:gutter="0"/>
          <w:cols w:space="425"/>
          <w:docGrid w:type="lines" w:linePitch="312"/>
        </w:sectPr>
      </w:pPr>
      <w:r>
        <w:rPr>
          <w:rFonts w:eastAsia="仿宋_GB2312" w:cs="Times New Roman"/>
          <w:color w:val="000000" w:themeColor="text1"/>
          <w:sz w:val="32"/>
          <w:szCs w:val="32"/>
        </w:rPr>
        <w:t>2024</w:t>
      </w:r>
      <w:r>
        <w:rPr>
          <w:rFonts w:eastAsia="仿宋_GB2312" w:cs="Times New Roman"/>
          <w:color w:val="000000" w:themeColor="text1"/>
          <w:sz w:val="32"/>
          <w:szCs w:val="32"/>
        </w:rPr>
        <w:t>年</w:t>
      </w:r>
      <w:r>
        <w:rPr>
          <w:rFonts w:eastAsia="仿宋_GB2312" w:cs="Times New Roman" w:hint="eastAsia"/>
          <w:color w:val="000000" w:themeColor="text1"/>
          <w:sz w:val="32"/>
          <w:szCs w:val="32"/>
        </w:rPr>
        <w:t>1</w:t>
      </w:r>
      <w:r w:rsidR="003277A3">
        <w:rPr>
          <w:rFonts w:eastAsia="仿宋_GB2312" w:cs="Times New Roman" w:hint="eastAsia"/>
          <w:color w:val="000000" w:themeColor="text1"/>
          <w:sz w:val="32"/>
          <w:szCs w:val="32"/>
        </w:rPr>
        <w:t>2</w:t>
      </w:r>
      <w:r>
        <w:rPr>
          <w:rFonts w:eastAsia="仿宋_GB2312" w:cs="Times New Roman"/>
          <w:color w:val="000000" w:themeColor="text1"/>
          <w:sz w:val="32"/>
          <w:szCs w:val="32"/>
        </w:rPr>
        <w:t>月</w:t>
      </w:r>
    </w:p>
    <w:p w14:paraId="79B6CD0F" w14:textId="77777777" w:rsidR="00DB642A" w:rsidRDefault="00000000">
      <w:pPr>
        <w:spacing w:line="560" w:lineRule="exact"/>
        <w:jc w:val="center"/>
        <w:rPr>
          <w:rFonts w:eastAsia="黑体" w:cs="Times New Roman"/>
          <w:b/>
          <w:sz w:val="32"/>
          <w:szCs w:val="32"/>
        </w:rPr>
      </w:pPr>
      <w:r>
        <w:rPr>
          <w:rFonts w:eastAsia="黑体" w:cs="Times New Roman"/>
          <w:b/>
          <w:sz w:val="32"/>
          <w:szCs w:val="32"/>
        </w:rPr>
        <w:lastRenderedPageBreak/>
        <w:t>目</w:t>
      </w:r>
      <w:r>
        <w:rPr>
          <w:rFonts w:eastAsia="黑体" w:cs="Times New Roman"/>
          <w:b/>
          <w:sz w:val="32"/>
          <w:szCs w:val="32"/>
        </w:rPr>
        <w:t xml:space="preserve">  </w:t>
      </w:r>
      <w:r>
        <w:rPr>
          <w:rFonts w:eastAsia="黑体" w:cs="Times New Roman"/>
          <w:b/>
          <w:sz w:val="32"/>
          <w:szCs w:val="32"/>
        </w:rPr>
        <w:t>录</w:t>
      </w:r>
    </w:p>
    <w:p w14:paraId="74E5A6BE" w14:textId="77777777" w:rsidR="00DB642A" w:rsidRDefault="00DB642A">
      <w:pPr>
        <w:spacing w:line="560" w:lineRule="exact"/>
        <w:jc w:val="center"/>
        <w:rPr>
          <w:rFonts w:cs="Times New Roman"/>
          <w:b/>
          <w:sz w:val="32"/>
          <w:szCs w:val="32"/>
        </w:rPr>
      </w:pPr>
    </w:p>
    <w:p w14:paraId="293AAF40" w14:textId="77777777" w:rsidR="00B3236A" w:rsidRDefault="00000000">
      <w:pPr>
        <w:pStyle w:val="TOC1"/>
        <w:tabs>
          <w:tab w:val="right" w:leader="dot" w:pos="8296"/>
        </w:tabs>
        <w:rPr>
          <w:rFonts w:asciiTheme="minorHAnsi" w:eastAsiaTheme="minorEastAsia" w:hAnsiTheme="minorHAnsi" w:hint="eastAsia"/>
          <w:noProof/>
          <w:sz w:val="21"/>
          <w14:ligatures w14:val="standardContextual"/>
        </w:rPr>
      </w:pPr>
      <w:r>
        <w:rPr>
          <w:rFonts w:cs="Times New Roman"/>
        </w:rPr>
        <w:fldChar w:fldCharType="begin"/>
      </w:r>
      <w:r>
        <w:rPr>
          <w:rFonts w:cs="Times New Roman"/>
        </w:rPr>
        <w:instrText xml:space="preserve"> TOC \o "1-2" \h \z \u </w:instrText>
      </w:r>
      <w:r>
        <w:rPr>
          <w:rFonts w:cs="Times New Roman"/>
        </w:rPr>
        <w:fldChar w:fldCharType="separate"/>
      </w:r>
      <w:hyperlink w:anchor="_Toc184821094" w:history="1">
        <w:r w:rsidR="00B3236A" w:rsidRPr="009F18CE">
          <w:rPr>
            <w:rStyle w:val="afe"/>
            <w:rFonts w:eastAsia="黑体" w:cs="Times New Roman" w:hint="eastAsia"/>
            <w:noProof/>
          </w:rPr>
          <w:t>一、</w:t>
        </w:r>
        <w:r w:rsidR="00B3236A" w:rsidRPr="009F18CE">
          <w:rPr>
            <w:rStyle w:val="afe"/>
            <w:rFonts w:eastAsia="黑体" w:cs="Times New Roman" w:hint="eastAsia"/>
            <w:noProof/>
          </w:rPr>
          <w:t xml:space="preserve"> </w:t>
        </w:r>
        <w:r w:rsidR="00B3236A" w:rsidRPr="009F18CE">
          <w:rPr>
            <w:rStyle w:val="afe"/>
            <w:rFonts w:eastAsia="黑体" w:cs="Times New Roman" w:hint="eastAsia"/>
            <w:noProof/>
          </w:rPr>
          <w:t>工作概况</w:t>
        </w:r>
        <w:r w:rsidR="00B3236A">
          <w:rPr>
            <w:rFonts w:hint="eastAsia"/>
            <w:noProof/>
            <w:webHidden/>
          </w:rPr>
          <w:tab/>
        </w:r>
        <w:r w:rsidR="00B3236A">
          <w:rPr>
            <w:rFonts w:hint="eastAsia"/>
            <w:noProof/>
            <w:webHidden/>
          </w:rPr>
          <w:fldChar w:fldCharType="begin"/>
        </w:r>
        <w:r w:rsidR="00B3236A">
          <w:rPr>
            <w:rFonts w:hint="eastAsia"/>
            <w:noProof/>
            <w:webHidden/>
          </w:rPr>
          <w:instrText xml:space="preserve"> </w:instrText>
        </w:r>
        <w:r w:rsidR="00B3236A">
          <w:rPr>
            <w:noProof/>
            <w:webHidden/>
          </w:rPr>
          <w:instrText>PAGEREF _Toc184821094 \h</w:instrText>
        </w:r>
        <w:r w:rsidR="00B3236A">
          <w:rPr>
            <w:rFonts w:hint="eastAsia"/>
            <w:noProof/>
            <w:webHidden/>
          </w:rPr>
          <w:instrText xml:space="preserve"> </w:instrText>
        </w:r>
        <w:r w:rsidR="00B3236A">
          <w:rPr>
            <w:rFonts w:hint="eastAsia"/>
            <w:noProof/>
            <w:webHidden/>
          </w:rPr>
        </w:r>
        <w:r w:rsidR="00B3236A">
          <w:rPr>
            <w:rFonts w:hint="eastAsia"/>
            <w:noProof/>
            <w:webHidden/>
          </w:rPr>
          <w:fldChar w:fldCharType="separate"/>
        </w:r>
        <w:r w:rsidR="00B3236A">
          <w:rPr>
            <w:noProof/>
            <w:webHidden/>
          </w:rPr>
          <w:t>1</w:t>
        </w:r>
        <w:r w:rsidR="00B3236A">
          <w:rPr>
            <w:rFonts w:hint="eastAsia"/>
            <w:noProof/>
            <w:webHidden/>
          </w:rPr>
          <w:fldChar w:fldCharType="end"/>
        </w:r>
      </w:hyperlink>
    </w:p>
    <w:p w14:paraId="4B61F733" w14:textId="77777777" w:rsidR="00B3236A" w:rsidRDefault="00B3236A">
      <w:pPr>
        <w:pStyle w:val="TOC2"/>
        <w:tabs>
          <w:tab w:val="right" w:leader="dot" w:pos="8296"/>
        </w:tabs>
        <w:ind w:left="480"/>
        <w:rPr>
          <w:rFonts w:asciiTheme="minorHAnsi" w:eastAsiaTheme="minorEastAsia" w:hAnsiTheme="minorHAnsi" w:hint="eastAsia"/>
          <w:noProof/>
          <w:sz w:val="21"/>
          <w14:ligatures w14:val="standardContextual"/>
        </w:rPr>
      </w:pPr>
      <w:hyperlink w:anchor="_Toc184821095" w:history="1">
        <w:r w:rsidRPr="009F18CE">
          <w:rPr>
            <w:rStyle w:val="afe"/>
            <w:rFonts w:eastAsia="仿宋_GB2312" w:cs="Times New Roman" w:hint="eastAsia"/>
            <w:noProof/>
          </w:rPr>
          <w:t xml:space="preserve">1.1 </w:t>
        </w:r>
        <w:r w:rsidRPr="009F18CE">
          <w:rPr>
            <w:rStyle w:val="afe"/>
            <w:rFonts w:eastAsia="仿宋_GB2312" w:cs="Times New Roman" w:hint="eastAsia"/>
            <w:noProof/>
          </w:rPr>
          <w:t>工作背景与任务来源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_Toc184821095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08554E46" w14:textId="77777777" w:rsidR="00B3236A" w:rsidRDefault="00B3236A">
      <w:pPr>
        <w:pStyle w:val="TOC2"/>
        <w:tabs>
          <w:tab w:val="right" w:leader="dot" w:pos="8296"/>
        </w:tabs>
        <w:ind w:left="480"/>
        <w:rPr>
          <w:rFonts w:asciiTheme="minorHAnsi" w:eastAsiaTheme="minorEastAsia" w:hAnsiTheme="minorHAnsi" w:hint="eastAsia"/>
          <w:noProof/>
          <w:sz w:val="21"/>
          <w14:ligatures w14:val="standardContextual"/>
        </w:rPr>
      </w:pPr>
      <w:hyperlink w:anchor="_Toc184821096" w:history="1">
        <w:r w:rsidRPr="009F18CE">
          <w:rPr>
            <w:rStyle w:val="afe"/>
            <w:rFonts w:eastAsia="仿宋_GB2312" w:cs="Times New Roman" w:hint="eastAsia"/>
            <w:noProof/>
          </w:rPr>
          <w:t xml:space="preserve">1.2 </w:t>
        </w:r>
        <w:r w:rsidRPr="009F18CE">
          <w:rPr>
            <w:rStyle w:val="afe"/>
            <w:rFonts w:eastAsia="仿宋_GB2312" w:cs="Times New Roman" w:hint="eastAsia"/>
            <w:noProof/>
          </w:rPr>
          <w:t>主编单位、参编单位和分工情况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_Toc184821096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4BA898BD" w14:textId="77777777" w:rsidR="00B3236A" w:rsidRDefault="00B3236A">
      <w:pPr>
        <w:pStyle w:val="TOC1"/>
        <w:tabs>
          <w:tab w:val="right" w:leader="dot" w:pos="8296"/>
        </w:tabs>
        <w:rPr>
          <w:rFonts w:asciiTheme="minorHAnsi" w:eastAsiaTheme="minorEastAsia" w:hAnsiTheme="minorHAnsi" w:hint="eastAsia"/>
          <w:noProof/>
          <w:sz w:val="21"/>
          <w14:ligatures w14:val="standardContextual"/>
        </w:rPr>
      </w:pPr>
      <w:hyperlink w:anchor="_Toc184821097" w:history="1">
        <w:r w:rsidRPr="009F18CE">
          <w:rPr>
            <w:rStyle w:val="afe"/>
            <w:rFonts w:eastAsia="黑体" w:cs="Times New Roman" w:hint="eastAsia"/>
            <w:noProof/>
          </w:rPr>
          <w:t>二、</w:t>
        </w:r>
        <w:r w:rsidRPr="009F18CE">
          <w:rPr>
            <w:rStyle w:val="afe"/>
            <w:rFonts w:eastAsia="黑体" w:cs="Times New Roman" w:hint="eastAsia"/>
            <w:noProof/>
          </w:rPr>
          <w:t xml:space="preserve"> </w:t>
        </w:r>
        <w:r w:rsidRPr="009F18CE">
          <w:rPr>
            <w:rStyle w:val="afe"/>
            <w:rFonts w:eastAsia="黑体" w:cs="Times New Roman" w:hint="eastAsia"/>
            <w:noProof/>
          </w:rPr>
          <w:t>立项的必要性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_Toc184821097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1DF8652D" w14:textId="77777777" w:rsidR="00B3236A" w:rsidRDefault="00B3236A">
      <w:pPr>
        <w:pStyle w:val="TOC2"/>
        <w:tabs>
          <w:tab w:val="right" w:leader="dot" w:pos="8296"/>
        </w:tabs>
        <w:ind w:left="480"/>
        <w:rPr>
          <w:rFonts w:asciiTheme="minorHAnsi" w:eastAsiaTheme="minorEastAsia" w:hAnsiTheme="minorHAnsi" w:hint="eastAsia"/>
          <w:noProof/>
          <w:sz w:val="21"/>
          <w14:ligatures w14:val="standardContextual"/>
        </w:rPr>
      </w:pPr>
      <w:hyperlink w:anchor="_Toc184821098" w:history="1">
        <w:r w:rsidRPr="009F18CE">
          <w:rPr>
            <w:rStyle w:val="afe"/>
            <w:rFonts w:eastAsia="仿宋_GB2312" w:cs="Times New Roman" w:hint="eastAsia"/>
            <w:noProof/>
          </w:rPr>
          <w:t xml:space="preserve">2.1 </w:t>
        </w:r>
        <w:r w:rsidRPr="009F18CE">
          <w:rPr>
            <w:rStyle w:val="afe"/>
            <w:rFonts w:eastAsia="仿宋_GB2312" w:cs="Times New Roman" w:hint="eastAsia"/>
            <w:noProof/>
          </w:rPr>
          <w:t>编制的目的和意义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_Toc184821098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5D4E3302" w14:textId="77777777" w:rsidR="00B3236A" w:rsidRDefault="00B3236A">
      <w:pPr>
        <w:pStyle w:val="TOC2"/>
        <w:tabs>
          <w:tab w:val="right" w:leader="dot" w:pos="8296"/>
        </w:tabs>
        <w:ind w:left="480"/>
        <w:rPr>
          <w:rFonts w:asciiTheme="minorHAnsi" w:eastAsiaTheme="minorEastAsia" w:hAnsiTheme="minorHAnsi" w:hint="eastAsia"/>
          <w:noProof/>
          <w:sz w:val="21"/>
          <w14:ligatures w14:val="standardContextual"/>
        </w:rPr>
      </w:pPr>
      <w:hyperlink w:anchor="_Toc184821099" w:history="1">
        <w:r w:rsidRPr="009F18CE">
          <w:rPr>
            <w:rStyle w:val="afe"/>
            <w:rFonts w:eastAsia="仿宋_GB2312" w:cs="Times New Roman" w:hint="eastAsia"/>
            <w:noProof/>
          </w:rPr>
          <w:t xml:space="preserve">2.2 </w:t>
        </w:r>
        <w:r w:rsidRPr="009F18CE">
          <w:rPr>
            <w:rStyle w:val="afe"/>
            <w:rFonts w:eastAsia="仿宋_GB2312" w:cs="Times New Roman" w:hint="eastAsia"/>
            <w:noProof/>
          </w:rPr>
          <w:t>发展现状、发展瓶颈及拟解决的问题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_Toc184821099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1C07AE64" w14:textId="77777777" w:rsidR="00B3236A" w:rsidRDefault="00B3236A">
      <w:pPr>
        <w:pStyle w:val="TOC1"/>
        <w:tabs>
          <w:tab w:val="right" w:leader="dot" w:pos="8296"/>
        </w:tabs>
        <w:rPr>
          <w:rFonts w:asciiTheme="minorHAnsi" w:eastAsiaTheme="minorEastAsia" w:hAnsiTheme="minorHAnsi" w:hint="eastAsia"/>
          <w:noProof/>
          <w:sz w:val="21"/>
          <w14:ligatures w14:val="standardContextual"/>
        </w:rPr>
      </w:pPr>
      <w:hyperlink w:anchor="_Toc184821100" w:history="1">
        <w:r w:rsidRPr="009F18CE">
          <w:rPr>
            <w:rStyle w:val="afe"/>
            <w:rFonts w:eastAsia="黑体" w:cs="Times New Roman" w:hint="eastAsia"/>
            <w:noProof/>
          </w:rPr>
          <w:t>三、编制原则、思路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_Toc184821100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6DBA03EC" w14:textId="77777777" w:rsidR="00B3236A" w:rsidRDefault="00B3236A">
      <w:pPr>
        <w:pStyle w:val="TOC1"/>
        <w:tabs>
          <w:tab w:val="right" w:leader="dot" w:pos="8296"/>
        </w:tabs>
        <w:rPr>
          <w:rFonts w:asciiTheme="minorHAnsi" w:eastAsiaTheme="minorEastAsia" w:hAnsiTheme="minorHAnsi" w:hint="eastAsia"/>
          <w:noProof/>
          <w:sz w:val="21"/>
          <w14:ligatures w14:val="standardContextual"/>
        </w:rPr>
      </w:pPr>
      <w:hyperlink w:anchor="_Toc184821101" w:history="1">
        <w:r w:rsidRPr="009F18CE">
          <w:rPr>
            <w:rStyle w:val="afe"/>
            <w:rFonts w:eastAsia="黑体" w:cs="Times New Roman" w:hint="eastAsia"/>
            <w:noProof/>
          </w:rPr>
          <w:t>四、主要内容及其确定依据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_Toc184821101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14356D86" w14:textId="77777777" w:rsidR="00B3236A" w:rsidRDefault="00B3236A">
      <w:pPr>
        <w:pStyle w:val="TOC1"/>
        <w:tabs>
          <w:tab w:val="right" w:leader="dot" w:pos="8296"/>
        </w:tabs>
        <w:rPr>
          <w:rFonts w:asciiTheme="minorHAnsi" w:eastAsiaTheme="minorEastAsia" w:hAnsiTheme="minorHAnsi" w:hint="eastAsia"/>
          <w:noProof/>
          <w:sz w:val="21"/>
          <w14:ligatures w14:val="standardContextual"/>
        </w:rPr>
      </w:pPr>
      <w:hyperlink w:anchor="_Toc184821102" w:history="1">
        <w:r w:rsidRPr="009F18CE">
          <w:rPr>
            <w:rStyle w:val="afe"/>
            <w:rFonts w:eastAsia="黑体" w:cs="Times New Roman" w:hint="eastAsia"/>
            <w:noProof/>
          </w:rPr>
          <w:t>五、与现行同类标准技术内容对比情况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_Toc184821102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60B759A9" w14:textId="77777777" w:rsidR="00B3236A" w:rsidRDefault="00B3236A">
      <w:pPr>
        <w:pStyle w:val="TOC1"/>
        <w:tabs>
          <w:tab w:val="right" w:leader="dot" w:pos="8296"/>
        </w:tabs>
        <w:rPr>
          <w:rFonts w:asciiTheme="minorHAnsi" w:eastAsiaTheme="minorEastAsia" w:hAnsiTheme="minorHAnsi" w:hint="eastAsia"/>
          <w:noProof/>
          <w:sz w:val="21"/>
          <w14:ligatures w14:val="standardContextual"/>
        </w:rPr>
      </w:pPr>
      <w:hyperlink w:anchor="_Toc184821103" w:history="1">
        <w:r w:rsidRPr="009F18CE">
          <w:rPr>
            <w:rStyle w:val="afe"/>
            <w:rFonts w:eastAsia="黑体" w:cs="Times New Roman" w:hint="eastAsia"/>
            <w:noProof/>
          </w:rPr>
          <w:t>六、</w:t>
        </w:r>
        <w:r w:rsidRPr="009F18CE">
          <w:rPr>
            <w:rStyle w:val="afe"/>
            <w:rFonts w:eastAsia="黑体" w:cs="Times New Roman" w:hint="eastAsia"/>
            <w:noProof/>
          </w:rPr>
          <w:t xml:space="preserve"> </w:t>
        </w:r>
        <w:r w:rsidRPr="009F18CE">
          <w:rPr>
            <w:rStyle w:val="afe"/>
            <w:rFonts w:eastAsia="黑体" w:cs="Times New Roman" w:hint="eastAsia"/>
            <w:noProof/>
          </w:rPr>
          <w:t>指导性技术文件的先进性或特色性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_Toc184821103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74F79A22" w14:textId="77777777" w:rsidR="00B3236A" w:rsidRDefault="00B3236A">
      <w:pPr>
        <w:pStyle w:val="TOC1"/>
        <w:tabs>
          <w:tab w:val="right" w:leader="dot" w:pos="8296"/>
        </w:tabs>
        <w:rPr>
          <w:rFonts w:asciiTheme="minorHAnsi" w:eastAsiaTheme="minorEastAsia" w:hAnsiTheme="minorHAnsi" w:hint="eastAsia"/>
          <w:noProof/>
          <w:sz w:val="21"/>
          <w14:ligatures w14:val="standardContextual"/>
        </w:rPr>
      </w:pPr>
      <w:hyperlink w:anchor="_Toc184821104" w:history="1">
        <w:r w:rsidRPr="009F18CE">
          <w:rPr>
            <w:rStyle w:val="afe"/>
            <w:rFonts w:eastAsia="黑体" w:cs="Times New Roman" w:hint="eastAsia"/>
            <w:noProof/>
          </w:rPr>
          <w:t>七、编制过程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_Toc184821104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59E10036" w14:textId="77777777" w:rsidR="00B3236A" w:rsidRDefault="00B3236A">
      <w:pPr>
        <w:pStyle w:val="TOC1"/>
        <w:tabs>
          <w:tab w:val="right" w:leader="dot" w:pos="8296"/>
        </w:tabs>
        <w:rPr>
          <w:rFonts w:asciiTheme="minorHAnsi" w:eastAsiaTheme="minorEastAsia" w:hAnsiTheme="minorHAnsi" w:hint="eastAsia"/>
          <w:noProof/>
          <w:sz w:val="21"/>
          <w14:ligatures w14:val="standardContextual"/>
        </w:rPr>
      </w:pPr>
      <w:hyperlink w:anchor="_Toc184821105" w:history="1">
        <w:r w:rsidRPr="009F18CE">
          <w:rPr>
            <w:rStyle w:val="afe"/>
            <w:rFonts w:eastAsia="黑体" w:cs="Times New Roman" w:hint="eastAsia"/>
            <w:noProof/>
          </w:rPr>
          <w:t>八、重大分歧意见的处理经过和依据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_Toc184821105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27D20D2E" w14:textId="77777777" w:rsidR="00B3236A" w:rsidRDefault="00B3236A">
      <w:pPr>
        <w:pStyle w:val="TOC1"/>
        <w:tabs>
          <w:tab w:val="right" w:leader="dot" w:pos="8296"/>
        </w:tabs>
        <w:rPr>
          <w:rFonts w:asciiTheme="minorHAnsi" w:eastAsiaTheme="minorEastAsia" w:hAnsiTheme="minorHAnsi" w:hint="eastAsia"/>
          <w:noProof/>
          <w:sz w:val="21"/>
          <w14:ligatures w14:val="standardContextual"/>
        </w:rPr>
      </w:pPr>
      <w:hyperlink w:anchor="_Toc184821106" w:history="1">
        <w:r w:rsidRPr="009F18CE">
          <w:rPr>
            <w:rStyle w:val="afe"/>
            <w:rFonts w:eastAsia="黑体" w:cs="Times New Roman" w:hint="eastAsia"/>
            <w:noProof/>
          </w:rPr>
          <w:t>九、</w:t>
        </w:r>
        <w:r w:rsidRPr="009F18CE">
          <w:rPr>
            <w:rStyle w:val="afe"/>
            <w:rFonts w:eastAsia="黑体" w:cs="Times New Roman" w:hint="eastAsia"/>
            <w:noProof/>
          </w:rPr>
          <w:t xml:space="preserve"> </w:t>
        </w:r>
        <w:r w:rsidRPr="009F18CE">
          <w:rPr>
            <w:rStyle w:val="afe"/>
            <w:rFonts w:eastAsia="黑体" w:cs="Times New Roman" w:hint="eastAsia"/>
            <w:noProof/>
          </w:rPr>
          <w:t>涉及专利的有关说明。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_Toc184821106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40507753" w14:textId="77777777" w:rsidR="00B3236A" w:rsidRDefault="00B3236A">
      <w:pPr>
        <w:pStyle w:val="TOC1"/>
        <w:tabs>
          <w:tab w:val="right" w:leader="dot" w:pos="8296"/>
        </w:tabs>
        <w:rPr>
          <w:rFonts w:asciiTheme="minorHAnsi" w:eastAsiaTheme="minorEastAsia" w:hAnsiTheme="minorHAnsi" w:hint="eastAsia"/>
          <w:noProof/>
          <w:sz w:val="21"/>
          <w14:ligatures w14:val="standardContextual"/>
        </w:rPr>
      </w:pPr>
      <w:hyperlink w:anchor="_Toc184821107" w:history="1">
        <w:r w:rsidRPr="009F18CE">
          <w:rPr>
            <w:rStyle w:val="afe"/>
            <w:rFonts w:eastAsia="黑体" w:cs="Times New Roman" w:hint="eastAsia"/>
            <w:noProof/>
          </w:rPr>
          <w:t>十、实施指导性技术文件的措施建议。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_Toc184821107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69FE8E48" w14:textId="77777777" w:rsidR="00B3236A" w:rsidRDefault="00B3236A">
      <w:pPr>
        <w:pStyle w:val="TOC1"/>
        <w:tabs>
          <w:tab w:val="right" w:leader="dot" w:pos="8296"/>
        </w:tabs>
        <w:rPr>
          <w:rFonts w:asciiTheme="minorHAnsi" w:eastAsiaTheme="minorEastAsia" w:hAnsiTheme="minorHAnsi" w:hint="eastAsia"/>
          <w:noProof/>
          <w:sz w:val="21"/>
          <w14:ligatures w14:val="standardContextual"/>
        </w:rPr>
      </w:pPr>
      <w:hyperlink w:anchor="_Toc184821108" w:history="1">
        <w:r w:rsidRPr="009F18CE">
          <w:rPr>
            <w:rStyle w:val="afe"/>
            <w:rFonts w:eastAsia="黑体" w:cs="Times New Roman" w:hint="eastAsia"/>
            <w:noProof/>
          </w:rPr>
          <w:t>十一、其他需要说明的情况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_Toc184821108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w:t>
        </w:r>
        <w:r>
          <w:rPr>
            <w:rFonts w:hint="eastAsia"/>
            <w:noProof/>
            <w:webHidden/>
          </w:rPr>
          <w:fldChar w:fldCharType="end"/>
        </w:r>
      </w:hyperlink>
    </w:p>
    <w:p w14:paraId="65A545E8" w14:textId="77777777" w:rsidR="00DB642A" w:rsidRDefault="00000000">
      <w:pPr>
        <w:spacing w:line="560" w:lineRule="exact"/>
        <w:jc w:val="center"/>
        <w:rPr>
          <w:rFonts w:cs="Times New Roman"/>
        </w:rPr>
      </w:pPr>
      <w:r>
        <w:rPr>
          <w:rFonts w:cs="Times New Roman"/>
        </w:rPr>
        <w:fldChar w:fldCharType="end"/>
      </w:r>
    </w:p>
    <w:p w14:paraId="1077C8C0" w14:textId="77777777" w:rsidR="00DB642A" w:rsidRDefault="00DB642A">
      <w:pPr>
        <w:spacing w:line="560" w:lineRule="exact"/>
        <w:jc w:val="center"/>
        <w:rPr>
          <w:rFonts w:cs="Times New Roman"/>
        </w:rPr>
        <w:sectPr w:rsidR="00DB642A">
          <w:pgSz w:w="11906" w:h="16838"/>
          <w:pgMar w:top="1440" w:right="1800" w:bottom="1440" w:left="1800" w:header="851" w:footer="992" w:gutter="0"/>
          <w:cols w:space="425"/>
          <w:docGrid w:type="lines" w:linePitch="312"/>
        </w:sectPr>
      </w:pPr>
    </w:p>
    <w:p w14:paraId="5E5D1DB4" w14:textId="77777777" w:rsidR="00DB642A" w:rsidRDefault="00000000">
      <w:pPr>
        <w:pStyle w:val="1"/>
        <w:numPr>
          <w:ilvl w:val="0"/>
          <w:numId w:val="6"/>
        </w:numPr>
        <w:spacing w:before="0" w:after="0" w:line="560" w:lineRule="exact"/>
        <w:ind w:firstLineChars="200" w:firstLine="640"/>
        <w:jc w:val="left"/>
        <w:rPr>
          <w:rFonts w:eastAsia="黑体" w:cs="Times New Roman"/>
          <w:b w:val="0"/>
          <w:bCs w:val="0"/>
          <w:color w:val="000000" w:themeColor="text1"/>
          <w:sz w:val="32"/>
          <w:szCs w:val="32"/>
        </w:rPr>
      </w:pPr>
      <w:bookmarkStart w:id="2" w:name="_Toc184821094"/>
      <w:r>
        <w:rPr>
          <w:rFonts w:eastAsia="黑体" w:cs="Times New Roman" w:hint="eastAsia"/>
          <w:b w:val="0"/>
          <w:bCs w:val="0"/>
          <w:color w:val="000000" w:themeColor="text1"/>
          <w:sz w:val="32"/>
          <w:szCs w:val="32"/>
        </w:rPr>
        <w:lastRenderedPageBreak/>
        <w:t>工作概况</w:t>
      </w:r>
      <w:bookmarkEnd w:id="2"/>
    </w:p>
    <w:p w14:paraId="354965D2" w14:textId="77777777" w:rsidR="00DB642A" w:rsidRDefault="00000000">
      <w:pPr>
        <w:spacing w:line="560" w:lineRule="exact"/>
        <w:ind w:firstLineChars="200" w:firstLine="640"/>
        <w:outlineLvl w:val="1"/>
        <w:rPr>
          <w:rFonts w:eastAsia="仿宋_GB2312" w:cs="Times New Roman"/>
          <w:color w:val="000000" w:themeColor="text1"/>
          <w:sz w:val="32"/>
          <w:szCs w:val="32"/>
        </w:rPr>
      </w:pPr>
      <w:bookmarkStart w:id="3" w:name="_Toc184821095"/>
      <w:r>
        <w:rPr>
          <w:rFonts w:eastAsia="仿宋_GB2312" w:cs="Times New Roman" w:hint="eastAsia"/>
          <w:color w:val="000000" w:themeColor="text1"/>
          <w:sz w:val="32"/>
          <w:szCs w:val="32"/>
        </w:rPr>
        <w:t xml:space="preserve">1.1 </w:t>
      </w:r>
      <w:r>
        <w:rPr>
          <w:rFonts w:eastAsia="仿宋_GB2312" w:cs="Times New Roman" w:hint="eastAsia"/>
          <w:color w:val="000000" w:themeColor="text1"/>
          <w:sz w:val="32"/>
          <w:szCs w:val="32"/>
        </w:rPr>
        <w:t>工作背景与任务来源</w:t>
      </w:r>
      <w:bookmarkEnd w:id="3"/>
    </w:p>
    <w:p w14:paraId="5BD4048D"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为进一步贯彻落实中共中央、国务院《交通强国建设纲要》中“强化节能减排和污染防治”指导思想要求，以交通运输部《</w:t>
      </w:r>
      <w:r>
        <w:rPr>
          <w:rFonts w:eastAsia="仿宋_GB2312" w:cs="Times New Roman" w:hint="eastAsia"/>
          <w:color w:val="000000" w:themeColor="text1"/>
          <w:sz w:val="32"/>
          <w:szCs w:val="32"/>
        </w:rPr>
        <w:t>2024</w:t>
      </w:r>
      <w:r>
        <w:rPr>
          <w:rFonts w:eastAsia="仿宋_GB2312" w:cs="Times New Roman" w:hint="eastAsia"/>
          <w:color w:val="000000" w:themeColor="text1"/>
          <w:sz w:val="32"/>
          <w:szCs w:val="32"/>
        </w:rPr>
        <w:t>年全国公路服务区工作要点》中“开展近零碳服务区探索创新，推动近零碳服务区建设，完善相关标准规范。”为具体工作纲领，本文件编制单位共同申请承担《高速公路近零碳服务区建设指南》的编制工作任务。经过审查，</w:t>
      </w:r>
      <w:proofErr w:type="gramStart"/>
      <w:r>
        <w:rPr>
          <w:rFonts w:eastAsia="仿宋_GB2312" w:cs="Times New Roman" w:hint="eastAsia"/>
          <w:color w:val="000000" w:themeColor="text1"/>
          <w:sz w:val="32"/>
          <w:szCs w:val="32"/>
        </w:rPr>
        <w:t>本任务</w:t>
      </w:r>
      <w:proofErr w:type="gramEnd"/>
      <w:r>
        <w:rPr>
          <w:rFonts w:eastAsia="仿宋_GB2312" w:cs="Times New Roman" w:hint="eastAsia"/>
          <w:color w:val="000000" w:themeColor="text1"/>
          <w:sz w:val="32"/>
          <w:szCs w:val="32"/>
        </w:rPr>
        <w:t>被列入广东省交通运输厅</w:t>
      </w:r>
      <w:r>
        <w:rPr>
          <w:rFonts w:eastAsia="仿宋_GB2312" w:cs="Times New Roman" w:hint="eastAsia"/>
          <w:color w:val="000000" w:themeColor="text1"/>
          <w:sz w:val="32"/>
          <w:szCs w:val="32"/>
        </w:rPr>
        <w:t>2024</w:t>
      </w:r>
      <w:r>
        <w:rPr>
          <w:rFonts w:eastAsia="仿宋_GB2312" w:cs="Times New Roman" w:hint="eastAsia"/>
          <w:color w:val="000000" w:themeColor="text1"/>
          <w:sz w:val="32"/>
          <w:szCs w:val="32"/>
        </w:rPr>
        <w:t>年度交通行业指导性技术文件项目计划。</w:t>
      </w:r>
      <w:r w:rsidR="00CB1C09">
        <w:rPr>
          <w:rFonts w:eastAsia="仿宋_GB2312" w:cs="Times New Roman" w:hint="eastAsia"/>
          <w:color w:val="000000" w:themeColor="text1"/>
          <w:sz w:val="32"/>
          <w:szCs w:val="32"/>
        </w:rPr>
        <w:t>初稿审查会更名为《</w:t>
      </w:r>
      <w:r w:rsidR="00CB1C09" w:rsidRPr="00CB1C09">
        <w:rPr>
          <w:rFonts w:eastAsia="仿宋_GB2312" w:cs="Times New Roman" w:hint="eastAsia"/>
          <w:color w:val="000000" w:themeColor="text1"/>
          <w:sz w:val="32"/>
          <w:szCs w:val="32"/>
        </w:rPr>
        <w:t>近零碳高速公路服务区技术指南</w:t>
      </w:r>
      <w:r w:rsidR="00CB1C09" w:rsidRPr="00CB1C09">
        <w:rPr>
          <w:rFonts w:eastAsia="仿宋_GB2312" w:cs="Times New Roman" w:hint="eastAsia"/>
          <w:color w:val="000000" w:themeColor="text1"/>
          <w:sz w:val="32"/>
          <w:szCs w:val="32"/>
        </w:rPr>
        <w:t xml:space="preserve"> </w:t>
      </w:r>
      <w:r w:rsidR="00CB1C09" w:rsidRPr="00CB1C09">
        <w:rPr>
          <w:rFonts w:eastAsia="仿宋_GB2312" w:cs="Times New Roman" w:hint="eastAsia"/>
          <w:color w:val="000000" w:themeColor="text1"/>
          <w:sz w:val="32"/>
          <w:szCs w:val="32"/>
        </w:rPr>
        <w:t>建设要求与运营期评价</w:t>
      </w:r>
      <w:r w:rsidR="00CB1C09">
        <w:rPr>
          <w:rFonts w:eastAsia="仿宋_GB2312" w:cs="Times New Roman" w:hint="eastAsia"/>
          <w:color w:val="000000" w:themeColor="text1"/>
          <w:sz w:val="32"/>
          <w:szCs w:val="32"/>
        </w:rPr>
        <w:t>》。</w:t>
      </w:r>
    </w:p>
    <w:p w14:paraId="6FBF7833" w14:textId="77777777" w:rsidR="00DB642A" w:rsidRDefault="00000000">
      <w:pPr>
        <w:spacing w:line="560" w:lineRule="exact"/>
        <w:ind w:firstLineChars="200" w:firstLine="640"/>
        <w:outlineLvl w:val="1"/>
        <w:rPr>
          <w:rFonts w:eastAsia="仿宋_GB2312" w:cs="Times New Roman"/>
          <w:color w:val="000000" w:themeColor="text1"/>
          <w:sz w:val="32"/>
          <w:szCs w:val="32"/>
        </w:rPr>
      </w:pPr>
      <w:bookmarkStart w:id="4" w:name="_Toc184821096"/>
      <w:r>
        <w:rPr>
          <w:rFonts w:eastAsia="仿宋_GB2312" w:cs="Times New Roman" w:hint="eastAsia"/>
          <w:color w:val="000000" w:themeColor="text1"/>
          <w:sz w:val="32"/>
          <w:szCs w:val="32"/>
        </w:rPr>
        <w:t xml:space="preserve">1.2 </w:t>
      </w:r>
      <w:r w:rsidRPr="00DD710F">
        <w:rPr>
          <w:rFonts w:eastAsia="仿宋_GB2312" w:cs="Times New Roman" w:hint="eastAsia"/>
          <w:color w:val="000000" w:themeColor="text1"/>
          <w:sz w:val="32"/>
          <w:szCs w:val="32"/>
          <w:highlight w:val="yellow"/>
        </w:rPr>
        <w:t>主编单位、参编单位</w:t>
      </w:r>
      <w:commentRangeStart w:id="5"/>
      <w:r>
        <w:rPr>
          <w:rFonts w:eastAsia="仿宋_GB2312" w:cs="Times New Roman" w:hint="eastAsia"/>
          <w:color w:val="000000" w:themeColor="text1"/>
          <w:sz w:val="32"/>
          <w:szCs w:val="32"/>
        </w:rPr>
        <w:t>和</w:t>
      </w:r>
      <w:commentRangeEnd w:id="5"/>
      <w:r w:rsidR="00DD710F">
        <w:rPr>
          <w:rStyle w:val="aff"/>
          <w:rFonts w:ascii="Calibri" w:hAnsi="Calibri" w:cs="Times New Roman"/>
        </w:rPr>
        <w:commentReference w:id="5"/>
      </w:r>
      <w:r>
        <w:rPr>
          <w:rFonts w:eastAsia="仿宋_GB2312" w:cs="Times New Roman" w:hint="eastAsia"/>
          <w:color w:val="000000" w:themeColor="text1"/>
          <w:sz w:val="32"/>
          <w:szCs w:val="32"/>
        </w:rPr>
        <w:t>分工情况</w:t>
      </w:r>
      <w:bookmarkEnd w:id="4"/>
    </w:p>
    <w:p w14:paraId="1F733AB5" w14:textId="77777777" w:rsidR="00DB642A" w:rsidRDefault="00000000">
      <w:pPr>
        <w:snapToGrid w:val="0"/>
        <w:spacing w:line="560" w:lineRule="exact"/>
        <w:ind w:leftChars="300" w:left="720"/>
        <w:jc w:val="left"/>
        <w:rPr>
          <w:rFonts w:ascii="仿宋_GB2312" w:eastAsia="仿宋_GB2312" w:cs="仿宋_GB2312"/>
          <w:sz w:val="32"/>
          <w:szCs w:val="32"/>
        </w:rPr>
      </w:pPr>
      <w:r>
        <w:rPr>
          <w:rFonts w:ascii="仿宋_GB2312" w:eastAsia="仿宋_GB2312" w:cs="仿宋_GB2312"/>
          <w:sz w:val="32"/>
          <w:szCs w:val="32"/>
          <w:lang w:bidi="ar"/>
        </w:rPr>
        <w:t>主编：郭月利</w:t>
      </w:r>
    </w:p>
    <w:p w14:paraId="22A00719" w14:textId="77777777" w:rsidR="00DB642A" w:rsidRDefault="00000000" w:rsidP="00FC3210">
      <w:pPr>
        <w:snapToGrid w:val="0"/>
        <w:spacing w:line="560" w:lineRule="exact"/>
        <w:ind w:firstLineChars="200" w:firstLine="640"/>
        <w:jc w:val="left"/>
        <w:rPr>
          <w:rFonts w:ascii="仿宋_GB2312" w:eastAsia="仿宋_GB2312" w:cs="仿宋_GB2312"/>
          <w:sz w:val="32"/>
          <w:szCs w:val="32"/>
        </w:rPr>
      </w:pPr>
      <w:commentRangeStart w:id="6"/>
      <w:r>
        <w:rPr>
          <w:rFonts w:ascii="仿宋_GB2312" w:eastAsia="仿宋_GB2312" w:cs="仿宋_GB2312"/>
          <w:sz w:val="32"/>
          <w:szCs w:val="32"/>
          <w:lang w:bidi="ar"/>
        </w:rPr>
        <w:t>编委：孙卫华、杨枫、罗伟坚、朱伟、</w:t>
      </w:r>
      <w:proofErr w:type="gramStart"/>
      <w:r>
        <w:rPr>
          <w:rFonts w:ascii="仿宋_GB2312" w:eastAsia="仿宋_GB2312" w:cs="仿宋_GB2312"/>
          <w:sz w:val="32"/>
          <w:szCs w:val="32"/>
          <w:lang w:bidi="ar"/>
        </w:rPr>
        <w:t>姚岢</w:t>
      </w:r>
      <w:proofErr w:type="gramEnd"/>
      <w:r>
        <w:rPr>
          <w:rFonts w:ascii="仿宋_GB2312" w:eastAsia="仿宋_GB2312" w:cs="仿宋_GB2312"/>
          <w:sz w:val="32"/>
          <w:szCs w:val="32"/>
          <w:lang w:bidi="ar"/>
        </w:rPr>
        <w:t>、杨志勇、林朝辉、王继芳、王亮、徐士翠、陈振春、彭智育、彭涛、</w:t>
      </w:r>
      <w:proofErr w:type="gramStart"/>
      <w:r>
        <w:rPr>
          <w:rFonts w:ascii="仿宋_GB2312" w:eastAsia="仿宋_GB2312" w:cs="仿宋_GB2312"/>
          <w:sz w:val="32"/>
          <w:szCs w:val="32"/>
          <w:lang w:bidi="ar"/>
        </w:rPr>
        <w:t>樊</w:t>
      </w:r>
      <w:proofErr w:type="gramEnd"/>
      <w:r>
        <w:rPr>
          <w:rFonts w:ascii="仿宋_GB2312" w:eastAsia="仿宋_GB2312" w:cs="仿宋_GB2312"/>
          <w:sz w:val="32"/>
          <w:szCs w:val="32"/>
          <w:lang w:bidi="ar"/>
        </w:rPr>
        <w:t>清清、杨鹏、石定开、余峻彦</w:t>
      </w:r>
      <w:commentRangeEnd w:id="6"/>
      <w:r w:rsidR="00DD710F">
        <w:rPr>
          <w:rStyle w:val="aff"/>
          <w:rFonts w:ascii="Calibri" w:hAnsi="Calibri" w:cs="Times New Roman"/>
        </w:rPr>
        <w:commentReference w:id="6"/>
      </w:r>
    </w:p>
    <w:p w14:paraId="703D1FA6" w14:textId="77777777" w:rsidR="00DB642A" w:rsidRDefault="00000000">
      <w:pPr>
        <w:spacing w:line="560" w:lineRule="exact"/>
        <w:ind w:firstLineChars="200" w:firstLine="640"/>
        <w:rPr>
          <w:rFonts w:ascii="仿宋_GB2312" w:eastAsia="仿宋_GB2312" w:cs="仿宋_GB2312"/>
          <w:sz w:val="32"/>
          <w:szCs w:val="32"/>
          <w:lang w:bidi="ar"/>
        </w:rPr>
      </w:pPr>
      <w:r>
        <w:rPr>
          <w:rFonts w:eastAsia="仿宋_GB2312" w:cs="Times New Roman" w:hint="eastAsia"/>
          <w:color w:val="000000" w:themeColor="text1"/>
          <w:sz w:val="32"/>
          <w:szCs w:val="32"/>
        </w:rPr>
        <w:t>《</w:t>
      </w:r>
      <w:r w:rsidR="008A37D8" w:rsidRPr="008A37D8">
        <w:rPr>
          <w:rFonts w:eastAsia="仿宋_GB2312" w:cs="Times New Roman" w:hint="eastAsia"/>
          <w:color w:val="000000" w:themeColor="text1"/>
          <w:sz w:val="32"/>
          <w:szCs w:val="32"/>
        </w:rPr>
        <w:t>近零碳高速公路服务区技术指南</w:t>
      </w:r>
      <w:r w:rsidR="008A37D8" w:rsidRPr="008A37D8">
        <w:rPr>
          <w:rFonts w:eastAsia="仿宋_GB2312" w:cs="Times New Roman" w:hint="eastAsia"/>
          <w:color w:val="000000" w:themeColor="text1"/>
          <w:sz w:val="32"/>
          <w:szCs w:val="32"/>
        </w:rPr>
        <w:t xml:space="preserve"> </w:t>
      </w:r>
      <w:r w:rsidR="008A37D8" w:rsidRPr="008A37D8">
        <w:rPr>
          <w:rFonts w:eastAsia="仿宋_GB2312" w:cs="Times New Roman" w:hint="eastAsia"/>
          <w:color w:val="000000" w:themeColor="text1"/>
          <w:sz w:val="32"/>
          <w:szCs w:val="32"/>
        </w:rPr>
        <w:t>建设要求与运营期评价</w:t>
      </w:r>
      <w:r>
        <w:rPr>
          <w:rFonts w:eastAsia="仿宋_GB2312" w:cs="Times New Roman" w:hint="eastAsia"/>
          <w:color w:val="000000" w:themeColor="text1"/>
          <w:sz w:val="32"/>
          <w:szCs w:val="32"/>
        </w:rPr>
        <w:t>》的编制单位共有七家，分别是主编单位广东省交通规划设计研究院集团股份有限公司；参编单位中电建（广东）中开高速公路有限公司、</w:t>
      </w:r>
      <w:r w:rsidR="000F5D85">
        <w:rPr>
          <w:rFonts w:eastAsia="仿宋_GB2312" w:cs="Times New Roman" w:hint="eastAsia"/>
          <w:color w:val="000000" w:themeColor="text1"/>
          <w:sz w:val="32"/>
          <w:szCs w:val="32"/>
        </w:rPr>
        <w:t>广东省交通开发有限公司、</w:t>
      </w:r>
      <w:r>
        <w:rPr>
          <w:rFonts w:eastAsia="仿宋_GB2312" w:cs="Times New Roman" w:hint="eastAsia"/>
          <w:color w:val="000000" w:themeColor="text1"/>
          <w:sz w:val="32"/>
          <w:szCs w:val="32"/>
        </w:rPr>
        <w:t>广东省交通运输规划研究中心、惠州交投能源投资有限公司、广州市高速公路有限公司、广东省路桥建设发展有限公司。</w:t>
      </w:r>
    </w:p>
    <w:p w14:paraId="73F40DC6" w14:textId="77777777" w:rsidR="00DB642A" w:rsidRDefault="00000000">
      <w:pPr>
        <w:snapToGrid w:val="0"/>
        <w:spacing w:line="560" w:lineRule="exact"/>
        <w:ind w:firstLine="640"/>
        <w:jc w:val="left"/>
        <w:rPr>
          <w:rFonts w:ascii="仿宋_GB2312" w:eastAsia="仿宋_GB2312" w:cs="仿宋_GB2312"/>
          <w:sz w:val="32"/>
          <w:szCs w:val="32"/>
        </w:rPr>
      </w:pPr>
      <w:r>
        <w:rPr>
          <w:rFonts w:ascii="仿宋_GB2312" w:eastAsia="仿宋_GB2312" w:cs="仿宋_GB2312"/>
          <w:sz w:val="32"/>
          <w:szCs w:val="32"/>
          <w:lang w:bidi="ar"/>
        </w:rPr>
        <w:t>主编单位广东省交通规划设计研究院集团股份有限公司负责统稿、各阶段成果质量把关、控制项目进度、各阶段</w:t>
      </w:r>
      <w:r>
        <w:rPr>
          <w:rFonts w:ascii="仿宋_GB2312" w:eastAsia="仿宋_GB2312" w:cs="仿宋_GB2312"/>
          <w:sz w:val="32"/>
          <w:szCs w:val="32"/>
          <w:lang w:bidi="ar"/>
        </w:rPr>
        <w:lastRenderedPageBreak/>
        <w:t>审查会议汇报和组织编制宣贯材料；负责前言、引言、附录的编写；负责范围、规范性引用文件、术语和定义、一般规定、场地与布局配套、碳排放管理、核算、评价与认定章节的编写，部分参与其他章节的编写。</w:t>
      </w:r>
    </w:p>
    <w:p w14:paraId="74C1697A" w14:textId="77777777" w:rsidR="00DB642A" w:rsidRDefault="00000000">
      <w:pPr>
        <w:snapToGrid w:val="0"/>
        <w:spacing w:line="560" w:lineRule="exact"/>
        <w:ind w:firstLine="640"/>
        <w:jc w:val="left"/>
        <w:rPr>
          <w:rFonts w:ascii="仿宋_GB2312" w:eastAsia="仿宋_GB2312" w:cs="仿宋_GB2312"/>
          <w:sz w:val="32"/>
          <w:szCs w:val="32"/>
        </w:rPr>
      </w:pPr>
      <w:r>
        <w:rPr>
          <w:rFonts w:ascii="仿宋_GB2312" w:eastAsia="仿宋_GB2312" w:cs="仿宋_GB2312"/>
          <w:sz w:val="32"/>
          <w:szCs w:val="32"/>
          <w:lang w:bidi="ar"/>
        </w:rPr>
        <w:t>参与单位中电建（广东）中开高速公路有限公司负责</w:t>
      </w:r>
      <w:r>
        <w:rPr>
          <w:rFonts w:eastAsia="仿宋_GB2312" w:cs="仿宋_GB2312"/>
          <w:color w:val="000000"/>
          <w:sz w:val="32"/>
          <w:szCs w:val="32"/>
          <w:lang w:bidi="ar"/>
        </w:rPr>
        <w:t>建筑建设要求与设施设备</w:t>
      </w:r>
      <w:r>
        <w:rPr>
          <w:rFonts w:ascii="仿宋_GB2312" w:eastAsia="仿宋_GB2312" w:cs="仿宋_GB2312"/>
          <w:sz w:val="32"/>
          <w:szCs w:val="32"/>
          <w:lang w:bidi="ar"/>
        </w:rPr>
        <w:t>章节的编写；部分参与场地与布局配套、碳排放管理章节的编写。</w:t>
      </w:r>
    </w:p>
    <w:p w14:paraId="3AF85399" w14:textId="77777777" w:rsidR="00DB642A" w:rsidRDefault="00000000">
      <w:pPr>
        <w:snapToGrid w:val="0"/>
        <w:spacing w:line="560" w:lineRule="exact"/>
        <w:ind w:firstLine="640"/>
        <w:jc w:val="left"/>
        <w:rPr>
          <w:rFonts w:ascii="仿宋_GB2312" w:eastAsia="仿宋_GB2312" w:cs="仿宋_GB2312"/>
          <w:sz w:val="32"/>
          <w:szCs w:val="32"/>
        </w:rPr>
      </w:pPr>
      <w:r>
        <w:rPr>
          <w:rFonts w:ascii="仿宋_GB2312" w:eastAsia="仿宋_GB2312" w:cs="仿宋_GB2312"/>
          <w:sz w:val="32"/>
          <w:szCs w:val="32"/>
          <w:lang w:bidi="ar"/>
        </w:rPr>
        <w:t>参与单位广东省交通开发有限公司负责能源系统建设章节的编写；部分参与设施设备建设、碳排放管理、碳排放核算、评价与认定章节的编写。</w:t>
      </w:r>
    </w:p>
    <w:p w14:paraId="63ABEC2C" w14:textId="77777777" w:rsidR="00DB642A" w:rsidRDefault="00000000">
      <w:pPr>
        <w:snapToGrid w:val="0"/>
        <w:spacing w:line="560" w:lineRule="exact"/>
        <w:ind w:firstLineChars="200" w:firstLine="640"/>
        <w:jc w:val="left"/>
        <w:rPr>
          <w:rFonts w:ascii="仿宋_GB2312" w:eastAsia="仿宋_GB2312" w:cs="仿宋_GB2312"/>
          <w:sz w:val="32"/>
          <w:szCs w:val="32"/>
        </w:rPr>
      </w:pPr>
      <w:r>
        <w:rPr>
          <w:rFonts w:ascii="仿宋_GB2312" w:eastAsia="仿宋_GB2312" w:cs="仿宋_GB2312"/>
          <w:sz w:val="32"/>
          <w:szCs w:val="32"/>
          <w:lang w:bidi="ar"/>
        </w:rPr>
        <w:t>参与单位广东省交通运输规划研究中心部分参与碳排放管理、核算章节的编写。</w:t>
      </w:r>
    </w:p>
    <w:p w14:paraId="55903AC9" w14:textId="77777777" w:rsidR="00DB642A" w:rsidRDefault="00000000">
      <w:pPr>
        <w:snapToGrid w:val="0"/>
        <w:spacing w:line="560" w:lineRule="exact"/>
        <w:ind w:firstLineChars="200" w:firstLine="640"/>
        <w:jc w:val="left"/>
        <w:rPr>
          <w:rFonts w:ascii="仿宋_GB2312" w:eastAsia="仿宋_GB2312" w:cs="仿宋_GB2312"/>
          <w:sz w:val="32"/>
          <w:szCs w:val="32"/>
        </w:rPr>
      </w:pPr>
      <w:r>
        <w:rPr>
          <w:rFonts w:ascii="仿宋_GB2312" w:eastAsia="仿宋_GB2312" w:cs="仿宋_GB2312"/>
          <w:sz w:val="32"/>
          <w:szCs w:val="32"/>
          <w:lang w:bidi="ar"/>
        </w:rPr>
        <w:t>参与单位惠州交投能源投资有限公司部分参与能源系统建设章节的编写。</w:t>
      </w:r>
    </w:p>
    <w:p w14:paraId="192C12F4" w14:textId="77777777" w:rsidR="00DB642A" w:rsidRDefault="00000000">
      <w:pPr>
        <w:snapToGrid w:val="0"/>
        <w:spacing w:line="560" w:lineRule="exact"/>
        <w:ind w:firstLineChars="200" w:firstLine="640"/>
        <w:jc w:val="left"/>
        <w:rPr>
          <w:rFonts w:ascii="仿宋_GB2312" w:eastAsia="仿宋_GB2312" w:cs="仿宋_GB2312"/>
          <w:sz w:val="32"/>
          <w:szCs w:val="32"/>
        </w:rPr>
      </w:pPr>
      <w:r>
        <w:rPr>
          <w:rFonts w:ascii="仿宋_GB2312" w:eastAsia="仿宋_GB2312" w:cs="仿宋_GB2312"/>
          <w:sz w:val="32"/>
          <w:szCs w:val="32"/>
          <w:lang w:bidi="ar"/>
        </w:rPr>
        <w:t>参与单位广州市高速公路有限公司部分参与场地与布局配套章节的编写。</w:t>
      </w:r>
    </w:p>
    <w:p w14:paraId="4ADFDDA0" w14:textId="77777777" w:rsidR="00DB642A" w:rsidRDefault="00000000">
      <w:pPr>
        <w:snapToGrid w:val="0"/>
        <w:spacing w:line="560" w:lineRule="exact"/>
        <w:ind w:firstLineChars="200" w:firstLine="640"/>
        <w:jc w:val="left"/>
        <w:rPr>
          <w:rFonts w:eastAsia="仿宋_GB2312" w:cs="Times New Roman"/>
          <w:color w:val="000000" w:themeColor="text1"/>
          <w:sz w:val="32"/>
          <w:szCs w:val="32"/>
        </w:rPr>
      </w:pPr>
      <w:r>
        <w:rPr>
          <w:rFonts w:ascii="仿宋_GB2312" w:eastAsia="仿宋_GB2312" w:cs="仿宋_GB2312"/>
          <w:sz w:val="32"/>
          <w:szCs w:val="32"/>
          <w:lang w:bidi="ar"/>
        </w:rPr>
        <w:t>参与单位广东省路桥建设发展有限公司部分参与评价与认定章节的编写。</w:t>
      </w:r>
    </w:p>
    <w:p w14:paraId="09462BCE" w14:textId="77777777" w:rsidR="00DB642A" w:rsidRDefault="00000000">
      <w:pPr>
        <w:pStyle w:val="1"/>
        <w:numPr>
          <w:ilvl w:val="0"/>
          <w:numId w:val="6"/>
        </w:numPr>
        <w:spacing w:before="0" w:after="0" w:line="560" w:lineRule="exact"/>
        <w:ind w:firstLineChars="200" w:firstLine="640"/>
        <w:jc w:val="left"/>
        <w:rPr>
          <w:rFonts w:eastAsia="黑体" w:cs="Times New Roman"/>
          <w:b w:val="0"/>
          <w:bCs w:val="0"/>
          <w:color w:val="000000" w:themeColor="text1"/>
          <w:sz w:val="32"/>
          <w:szCs w:val="32"/>
        </w:rPr>
      </w:pPr>
      <w:bookmarkStart w:id="7" w:name="_Toc184821097"/>
      <w:r>
        <w:rPr>
          <w:rFonts w:eastAsia="黑体" w:cs="Times New Roman" w:hint="eastAsia"/>
          <w:b w:val="0"/>
          <w:bCs w:val="0"/>
          <w:color w:val="000000" w:themeColor="text1"/>
          <w:sz w:val="32"/>
          <w:szCs w:val="32"/>
        </w:rPr>
        <w:t>立项的必要性</w:t>
      </w:r>
      <w:bookmarkEnd w:id="7"/>
    </w:p>
    <w:p w14:paraId="640B27CB" w14:textId="77777777" w:rsidR="00DB642A" w:rsidRDefault="00000000">
      <w:pPr>
        <w:spacing w:line="560" w:lineRule="exact"/>
        <w:ind w:firstLineChars="200" w:firstLine="640"/>
        <w:outlineLvl w:val="1"/>
        <w:rPr>
          <w:rFonts w:eastAsia="仿宋_GB2312" w:cs="Times New Roman"/>
          <w:color w:val="000000" w:themeColor="text1"/>
          <w:sz w:val="32"/>
          <w:szCs w:val="32"/>
        </w:rPr>
      </w:pPr>
      <w:bookmarkStart w:id="8" w:name="_Toc184821098"/>
      <w:r>
        <w:rPr>
          <w:rFonts w:eastAsia="仿宋_GB2312" w:cs="Times New Roman" w:hint="eastAsia"/>
          <w:color w:val="000000" w:themeColor="text1"/>
          <w:sz w:val="32"/>
          <w:szCs w:val="32"/>
        </w:rPr>
        <w:t xml:space="preserve">2.1 </w:t>
      </w:r>
      <w:r>
        <w:rPr>
          <w:rFonts w:eastAsia="仿宋_GB2312" w:cs="Times New Roman" w:hint="eastAsia"/>
          <w:color w:val="000000" w:themeColor="text1"/>
          <w:sz w:val="32"/>
          <w:szCs w:val="32"/>
        </w:rPr>
        <w:t>编制的目的和意义</w:t>
      </w:r>
      <w:bookmarkEnd w:id="8"/>
    </w:p>
    <w:p w14:paraId="1B028C29" w14:textId="77777777" w:rsidR="00DB642A" w:rsidRDefault="00000000">
      <w:pPr>
        <w:spacing w:line="560" w:lineRule="exact"/>
        <w:ind w:firstLineChars="200" w:firstLine="640"/>
        <w:rPr>
          <w:rFonts w:eastAsia="仿宋_GB2312" w:cs="Times New Roman"/>
          <w:color w:val="000000" w:themeColor="text1"/>
          <w:sz w:val="32"/>
          <w:szCs w:val="32"/>
        </w:rPr>
      </w:pPr>
      <w:proofErr w:type="gramStart"/>
      <w:r>
        <w:rPr>
          <w:rFonts w:eastAsia="仿宋_GB2312" w:cs="Times New Roman" w:hint="eastAsia"/>
          <w:color w:val="000000" w:themeColor="text1"/>
          <w:sz w:val="32"/>
          <w:szCs w:val="32"/>
        </w:rPr>
        <w:t>近零碳服务区</w:t>
      </w:r>
      <w:proofErr w:type="gramEnd"/>
      <w:r>
        <w:rPr>
          <w:rFonts w:eastAsia="仿宋_GB2312" w:cs="Times New Roman" w:hint="eastAsia"/>
          <w:color w:val="000000" w:themeColor="text1"/>
          <w:sz w:val="32"/>
          <w:szCs w:val="32"/>
        </w:rPr>
        <w:t>是通过绿色建筑、绿色能源建设、</w:t>
      </w:r>
      <w:proofErr w:type="gramStart"/>
      <w:r>
        <w:rPr>
          <w:rFonts w:eastAsia="仿宋_GB2312" w:cs="Times New Roman" w:hint="eastAsia"/>
          <w:color w:val="000000" w:themeColor="text1"/>
          <w:sz w:val="32"/>
          <w:szCs w:val="32"/>
        </w:rPr>
        <w:t>绿化碳汇配置</w:t>
      </w:r>
      <w:proofErr w:type="gramEnd"/>
      <w:r>
        <w:rPr>
          <w:rFonts w:eastAsia="仿宋_GB2312" w:cs="Times New Roman" w:hint="eastAsia"/>
          <w:color w:val="000000" w:themeColor="text1"/>
          <w:sz w:val="32"/>
          <w:szCs w:val="32"/>
        </w:rPr>
        <w:t>、节能手段运用等多种手段，使高速公路服务区运营</w:t>
      </w:r>
      <w:proofErr w:type="gramStart"/>
      <w:r>
        <w:rPr>
          <w:rFonts w:eastAsia="仿宋_GB2312" w:cs="Times New Roman" w:hint="eastAsia"/>
          <w:color w:val="000000" w:themeColor="text1"/>
          <w:sz w:val="32"/>
          <w:szCs w:val="32"/>
        </w:rPr>
        <w:t>年度净碳排放量达到或趋近于</w:t>
      </w:r>
      <w:proofErr w:type="gramEnd"/>
      <w:r>
        <w:rPr>
          <w:rFonts w:eastAsia="仿宋_GB2312" w:cs="Times New Roman" w:hint="eastAsia"/>
          <w:color w:val="000000" w:themeColor="text1"/>
          <w:sz w:val="32"/>
          <w:szCs w:val="32"/>
        </w:rPr>
        <w:t>零的服务区，其对高速公路低碳化转型、近零碳化评估乃至最终实现零碳化运营具有非常</w:t>
      </w:r>
      <w:r>
        <w:rPr>
          <w:rFonts w:eastAsia="仿宋_GB2312" w:cs="Times New Roman" w:hint="eastAsia"/>
          <w:color w:val="000000" w:themeColor="text1"/>
          <w:sz w:val="32"/>
          <w:szCs w:val="32"/>
        </w:rPr>
        <w:lastRenderedPageBreak/>
        <w:t>重要的意义，编制相应的技术指导性文件，对规范相关建设是必不可少的。</w:t>
      </w:r>
    </w:p>
    <w:p w14:paraId="4BC7CC92"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本文件立足绿色低碳交通领域，以适应技术发展形势，对相关绿色新技术、新工艺、新材料、新方法等进行规范管理和推广应用为主要内容，本文件是积极相应国家及我省相关工作要求的重要举措。</w:t>
      </w:r>
    </w:p>
    <w:p w14:paraId="4AFFE869" w14:textId="77777777" w:rsidR="00DB642A" w:rsidRDefault="00000000">
      <w:pPr>
        <w:spacing w:line="560" w:lineRule="exact"/>
        <w:ind w:firstLineChars="200" w:firstLine="640"/>
        <w:outlineLvl w:val="1"/>
        <w:rPr>
          <w:rFonts w:eastAsia="仿宋_GB2312" w:cs="Times New Roman"/>
          <w:color w:val="000000" w:themeColor="text1"/>
          <w:sz w:val="32"/>
          <w:szCs w:val="32"/>
        </w:rPr>
      </w:pPr>
      <w:bookmarkStart w:id="9" w:name="_Toc184821099"/>
      <w:r>
        <w:rPr>
          <w:rFonts w:eastAsia="仿宋_GB2312" w:cs="Times New Roman" w:hint="eastAsia"/>
          <w:color w:val="000000" w:themeColor="text1"/>
          <w:sz w:val="32"/>
          <w:szCs w:val="32"/>
        </w:rPr>
        <w:t xml:space="preserve">2.2 </w:t>
      </w:r>
      <w:r>
        <w:rPr>
          <w:rFonts w:eastAsia="仿宋_GB2312" w:cs="Times New Roman" w:hint="eastAsia"/>
          <w:color w:val="000000" w:themeColor="text1"/>
          <w:sz w:val="32"/>
          <w:szCs w:val="32"/>
        </w:rPr>
        <w:t>发展现状、发展瓶颈及拟解决的问题</w:t>
      </w:r>
      <w:bookmarkEnd w:id="9"/>
    </w:p>
    <w:p w14:paraId="5683E926"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国家层面：习近</w:t>
      </w:r>
      <w:proofErr w:type="gramStart"/>
      <w:r>
        <w:rPr>
          <w:rFonts w:eastAsia="仿宋_GB2312" w:cs="Times New Roman" w:hint="eastAsia"/>
          <w:color w:val="000000" w:themeColor="text1"/>
          <w:sz w:val="32"/>
          <w:szCs w:val="32"/>
        </w:rPr>
        <w:t>平主席</w:t>
      </w:r>
      <w:proofErr w:type="gramEnd"/>
      <w:r>
        <w:rPr>
          <w:rFonts w:eastAsia="仿宋_GB2312" w:cs="Times New Roman" w:hint="eastAsia"/>
          <w:color w:val="000000" w:themeColor="text1"/>
          <w:sz w:val="32"/>
          <w:szCs w:val="32"/>
        </w:rPr>
        <w:t>在</w:t>
      </w:r>
      <w:r>
        <w:rPr>
          <w:rFonts w:eastAsia="仿宋_GB2312" w:cs="Times New Roman" w:hint="eastAsia"/>
          <w:color w:val="000000" w:themeColor="text1"/>
          <w:sz w:val="32"/>
          <w:szCs w:val="32"/>
        </w:rPr>
        <w:t>2020</w:t>
      </w:r>
      <w:r>
        <w:rPr>
          <w:rFonts w:eastAsia="仿宋_GB2312" w:cs="Times New Roman" w:hint="eastAsia"/>
          <w:color w:val="000000" w:themeColor="text1"/>
          <w:sz w:val="32"/>
          <w:szCs w:val="32"/>
        </w:rPr>
        <w:t>年第</w:t>
      </w:r>
      <w:r>
        <w:rPr>
          <w:rFonts w:eastAsia="仿宋_GB2312" w:cs="Times New Roman" w:hint="eastAsia"/>
          <w:color w:val="000000" w:themeColor="text1"/>
          <w:sz w:val="32"/>
          <w:szCs w:val="32"/>
        </w:rPr>
        <w:t>75</w:t>
      </w:r>
      <w:r>
        <w:rPr>
          <w:rFonts w:eastAsia="仿宋_GB2312" w:cs="Times New Roman" w:hint="eastAsia"/>
          <w:color w:val="000000" w:themeColor="text1"/>
          <w:sz w:val="32"/>
          <w:szCs w:val="32"/>
        </w:rPr>
        <w:t>届联合国大会上宣布中国将努力争取</w:t>
      </w:r>
      <w:r>
        <w:rPr>
          <w:rFonts w:eastAsia="仿宋_GB2312" w:cs="Times New Roman" w:hint="eastAsia"/>
          <w:color w:val="000000" w:themeColor="text1"/>
          <w:sz w:val="32"/>
          <w:szCs w:val="32"/>
        </w:rPr>
        <w:t>2060</w:t>
      </w:r>
      <w:r>
        <w:rPr>
          <w:rFonts w:eastAsia="仿宋_GB2312" w:cs="Times New Roman" w:hint="eastAsia"/>
          <w:color w:val="000000" w:themeColor="text1"/>
          <w:sz w:val="32"/>
          <w:szCs w:val="32"/>
        </w:rPr>
        <w:t>年前实现碳中和。对此，国家各部委等密集出台了一系列绿色低碳和节能减排的政策性文件、措施以实现这一事关人类命运的战略决策。《中华人民共和国国民经济和社会发展第十四个五年规划和</w:t>
      </w:r>
      <w:r>
        <w:rPr>
          <w:rFonts w:eastAsia="仿宋_GB2312" w:cs="Times New Roman" w:hint="eastAsia"/>
          <w:color w:val="000000" w:themeColor="text1"/>
          <w:sz w:val="32"/>
          <w:szCs w:val="32"/>
        </w:rPr>
        <w:t>2035</w:t>
      </w:r>
      <w:r>
        <w:rPr>
          <w:rFonts w:eastAsia="仿宋_GB2312" w:cs="Times New Roman" w:hint="eastAsia"/>
          <w:color w:val="000000" w:themeColor="text1"/>
          <w:sz w:val="32"/>
          <w:szCs w:val="32"/>
        </w:rPr>
        <w:t>年远景目标纲要》为我国绿色低碳发展提供了长期指导。《关于完整准确全面贯彻新发展理念做好碳达峰碳中和工作的意见》为我国</w:t>
      </w:r>
      <w:proofErr w:type="gramStart"/>
      <w:r>
        <w:rPr>
          <w:rFonts w:eastAsia="仿宋_GB2312" w:cs="Times New Roman" w:hint="eastAsia"/>
          <w:color w:val="000000" w:themeColor="text1"/>
          <w:sz w:val="32"/>
          <w:szCs w:val="32"/>
        </w:rPr>
        <w:t>实现碳达峰</w:t>
      </w:r>
      <w:proofErr w:type="gramEnd"/>
      <w:r>
        <w:rPr>
          <w:rFonts w:eastAsia="仿宋_GB2312" w:cs="Times New Roman" w:hint="eastAsia"/>
          <w:color w:val="000000" w:themeColor="text1"/>
          <w:sz w:val="32"/>
          <w:szCs w:val="32"/>
        </w:rPr>
        <w:t>、碳中和目标制定了总体部署，明确了重点任务。这些政策文件共同构成了我国绿色低碳和节能减排的政策体系，低碳</w:t>
      </w:r>
      <w:proofErr w:type="gramStart"/>
      <w:r>
        <w:rPr>
          <w:rFonts w:eastAsia="仿宋_GB2312" w:cs="Times New Roman" w:hint="eastAsia"/>
          <w:color w:val="000000" w:themeColor="text1"/>
          <w:sz w:val="32"/>
          <w:szCs w:val="32"/>
        </w:rPr>
        <w:t>及零碳的</w:t>
      </w:r>
      <w:proofErr w:type="gramEnd"/>
      <w:r>
        <w:rPr>
          <w:rFonts w:eastAsia="仿宋_GB2312" w:cs="Times New Roman" w:hint="eastAsia"/>
          <w:color w:val="000000" w:themeColor="text1"/>
          <w:sz w:val="32"/>
          <w:szCs w:val="32"/>
        </w:rPr>
        <w:t>指导概念应运而生。</w:t>
      </w:r>
    </w:p>
    <w:p w14:paraId="1D942AF4"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我省层面：《关于印发广东省能源发展“十四五”规划的通知》和广东省《广东省能源发展“十四五”规划》要求着力推动能源绿色低碳转型，包括大力实施节约能源优先战略等。《广东省综合交通运输体系“十四五”发展规划》提出强化智能绿色安全，推动交通运输高质量的发展模式等，交通</w:t>
      </w:r>
      <w:proofErr w:type="gramStart"/>
      <w:r>
        <w:rPr>
          <w:rFonts w:eastAsia="仿宋_GB2312" w:cs="Times New Roman" w:hint="eastAsia"/>
          <w:color w:val="000000" w:themeColor="text1"/>
          <w:sz w:val="32"/>
          <w:szCs w:val="32"/>
        </w:rPr>
        <w:t>运输低碳化</w:t>
      </w:r>
      <w:proofErr w:type="gramEnd"/>
      <w:r>
        <w:rPr>
          <w:rFonts w:eastAsia="仿宋_GB2312" w:cs="Times New Roman" w:hint="eastAsia"/>
          <w:color w:val="000000" w:themeColor="text1"/>
          <w:sz w:val="32"/>
          <w:szCs w:val="32"/>
        </w:rPr>
        <w:t>、近零碳化理念基本成型。</w:t>
      </w:r>
    </w:p>
    <w:p w14:paraId="58408571"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公路交通领域方面：绿色交通已逐步落实到项目实施上。</w:t>
      </w:r>
      <w:r>
        <w:rPr>
          <w:rFonts w:eastAsia="仿宋_GB2312" w:cs="Times New Roman" w:hint="eastAsia"/>
          <w:color w:val="000000" w:themeColor="text1"/>
          <w:sz w:val="32"/>
          <w:szCs w:val="32"/>
        </w:rPr>
        <w:lastRenderedPageBreak/>
        <w:t>国务院印发《推动大规模设备更新和消费品以旧换新行动方案》要求加快制定修订节能降碳、环保、安全、循环利用等领域标准等要求，针对交通与能源行业结合领域的标准编制工作排上日程。</w:t>
      </w:r>
    </w:p>
    <w:p w14:paraId="3E4C1FBC"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高速公路服务区作为重要附属设施，是设在公路沿线的专门为驾乘人员及车辆提供停车、休息、维修车辆等服务的设施、建筑及场地。随着高速公路总里程数的增长，高速公路</w:t>
      </w:r>
      <w:proofErr w:type="gramStart"/>
      <w:r>
        <w:rPr>
          <w:rFonts w:eastAsia="仿宋_GB2312" w:cs="Times New Roman" w:hint="eastAsia"/>
          <w:color w:val="000000" w:themeColor="text1"/>
          <w:sz w:val="32"/>
          <w:szCs w:val="32"/>
        </w:rPr>
        <w:t>近零碳服务区</w:t>
      </w:r>
      <w:proofErr w:type="gramEnd"/>
      <w:r>
        <w:rPr>
          <w:rFonts w:eastAsia="仿宋_GB2312" w:cs="Times New Roman" w:hint="eastAsia"/>
          <w:color w:val="000000" w:themeColor="text1"/>
          <w:sz w:val="32"/>
          <w:szCs w:val="32"/>
        </w:rPr>
        <w:t>建设的先行先试是交通运输行业贯彻以上指导要求的必经之路。在此期间，我省注重融入低碳绿色发展理念，主动开展服务区绿电光伏、绿色储能等近零碳化手段的建设，如中开高速、惠大高速在服务区打造“光储充”一体化电低碳项目工程，既解决了新能源汽车的</w:t>
      </w:r>
      <w:proofErr w:type="gramStart"/>
      <w:r>
        <w:rPr>
          <w:rFonts w:eastAsia="仿宋_GB2312" w:cs="Times New Roman" w:hint="eastAsia"/>
          <w:color w:val="000000" w:themeColor="text1"/>
          <w:sz w:val="32"/>
          <w:szCs w:val="32"/>
        </w:rPr>
        <w:t>充电补能难题</w:t>
      </w:r>
      <w:proofErr w:type="gramEnd"/>
      <w:r>
        <w:rPr>
          <w:rFonts w:eastAsia="仿宋_GB2312" w:cs="Times New Roman" w:hint="eastAsia"/>
          <w:color w:val="000000" w:themeColor="text1"/>
          <w:sz w:val="32"/>
          <w:szCs w:val="32"/>
        </w:rPr>
        <w:t>，又减少了服务区的碳排放。</w:t>
      </w:r>
    </w:p>
    <w:p w14:paraId="096A476B"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然而，在我省高速公路</w:t>
      </w:r>
      <w:proofErr w:type="gramStart"/>
      <w:r>
        <w:rPr>
          <w:rFonts w:eastAsia="仿宋_GB2312" w:cs="Times New Roman" w:hint="eastAsia"/>
          <w:color w:val="000000" w:themeColor="text1"/>
          <w:sz w:val="32"/>
          <w:szCs w:val="32"/>
        </w:rPr>
        <w:t>近零碳服务区</w:t>
      </w:r>
      <w:proofErr w:type="gramEnd"/>
      <w:r>
        <w:rPr>
          <w:rFonts w:eastAsia="仿宋_GB2312" w:cs="Times New Roman" w:hint="eastAsia"/>
          <w:color w:val="000000" w:themeColor="text1"/>
          <w:sz w:val="32"/>
          <w:szCs w:val="32"/>
        </w:rPr>
        <w:t>的建设进程中，尚未有完善的建设指南以供参考，使得</w:t>
      </w:r>
      <w:proofErr w:type="gramStart"/>
      <w:r>
        <w:rPr>
          <w:rFonts w:eastAsia="仿宋_GB2312" w:cs="Times New Roman" w:hint="eastAsia"/>
          <w:color w:val="000000" w:themeColor="text1"/>
          <w:sz w:val="32"/>
          <w:szCs w:val="32"/>
        </w:rPr>
        <w:t>近零碳服务区</w:t>
      </w:r>
      <w:proofErr w:type="gramEnd"/>
      <w:r>
        <w:rPr>
          <w:rFonts w:eastAsia="仿宋_GB2312" w:cs="Times New Roman" w:hint="eastAsia"/>
          <w:color w:val="000000" w:themeColor="text1"/>
          <w:sz w:val="32"/>
          <w:szCs w:val="32"/>
        </w:rPr>
        <w:t>的建设方向和评价标准等尚不明晰。对于</w:t>
      </w:r>
      <w:proofErr w:type="gramStart"/>
      <w:r>
        <w:rPr>
          <w:rFonts w:eastAsia="仿宋_GB2312" w:cs="Times New Roman" w:hint="eastAsia"/>
          <w:color w:val="000000" w:themeColor="text1"/>
          <w:sz w:val="32"/>
          <w:szCs w:val="32"/>
        </w:rPr>
        <w:t>近零碳服务区</w:t>
      </w:r>
      <w:proofErr w:type="gramEnd"/>
      <w:r>
        <w:rPr>
          <w:rFonts w:eastAsia="仿宋_GB2312" w:cs="Times New Roman" w:hint="eastAsia"/>
          <w:color w:val="000000" w:themeColor="text1"/>
          <w:sz w:val="32"/>
          <w:szCs w:val="32"/>
        </w:rPr>
        <w:t>内的建筑，可部分参照近零能耗</w:t>
      </w:r>
      <w:proofErr w:type="gramStart"/>
      <w:r>
        <w:rPr>
          <w:rFonts w:eastAsia="仿宋_GB2312" w:cs="Times New Roman" w:hint="eastAsia"/>
          <w:color w:val="000000" w:themeColor="text1"/>
          <w:sz w:val="32"/>
          <w:szCs w:val="32"/>
        </w:rPr>
        <w:t>建筑建筑</w:t>
      </w:r>
      <w:proofErr w:type="gramEnd"/>
      <w:r>
        <w:rPr>
          <w:rFonts w:eastAsia="仿宋_GB2312" w:cs="Times New Roman" w:hint="eastAsia"/>
          <w:color w:val="000000" w:themeColor="text1"/>
          <w:sz w:val="32"/>
          <w:szCs w:val="32"/>
        </w:rPr>
        <w:t>技术标准</w:t>
      </w:r>
      <w:r>
        <w:rPr>
          <w:rFonts w:eastAsia="仿宋_GB2312" w:cs="Times New Roman" w:hint="eastAsia"/>
          <w:color w:val="000000" w:themeColor="text1"/>
          <w:sz w:val="32"/>
          <w:szCs w:val="32"/>
        </w:rPr>
        <w:t>(GB/T 51350-2019)</w:t>
      </w:r>
      <w:r>
        <w:rPr>
          <w:rFonts w:eastAsia="仿宋_GB2312" w:cs="Times New Roman" w:hint="eastAsia"/>
          <w:color w:val="000000" w:themeColor="text1"/>
          <w:sz w:val="32"/>
          <w:szCs w:val="32"/>
        </w:rPr>
        <w:t>的部分条款执行，但仍需要针对高速公路服务区场景建设特点进行特殊要求和指导。另一方面，高速公路</w:t>
      </w:r>
      <w:proofErr w:type="gramStart"/>
      <w:r>
        <w:rPr>
          <w:rFonts w:eastAsia="仿宋_GB2312" w:cs="Times New Roman" w:hint="eastAsia"/>
          <w:color w:val="000000" w:themeColor="text1"/>
          <w:sz w:val="32"/>
          <w:szCs w:val="32"/>
        </w:rPr>
        <w:t>近零碳服务区</w:t>
      </w:r>
      <w:proofErr w:type="gramEnd"/>
      <w:r>
        <w:rPr>
          <w:rFonts w:eastAsia="仿宋_GB2312" w:cs="Times New Roman" w:hint="eastAsia"/>
          <w:color w:val="000000" w:themeColor="text1"/>
          <w:sz w:val="32"/>
          <w:szCs w:val="32"/>
        </w:rPr>
        <w:t>的建设是集场地布局与场地配套（含绿化）、建筑、照明、暖通空调、给排水、电气设备、能源服务（充电站等）、用能减排和相关</w:t>
      </w:r>
      <w:proofErr w:type="gramStart"/>
      <w:r>
        <w:rPr>
          <w:rFonts w:eastAsia="仿宋_GB2312" w:cs="Times New Roman" w:hint="eastAsia"/>
          <w:color w:val="000000" w:themeColor="text1"/>
          <w:sz w:val="32"/>
          <w:szCs w:val="32"/>
        </w:rPr>
        <w:t>碳指标</w:t>
      </w:r>
      <w:proofErr w:type="gramEnd"/>
      <w:r>
        <w:rPr>
          <w:rFonts w:eastAsia="仿宋_GB2312" w:cs="Times New Roman" w:hint="eastAsia"/>
          <w:color w:val="000000" w:themeColor="text1"/>
          <w:sz w:val="32"/>
          <w:szCs w:val="32"/>
        </w:rPr>
        <w:t>核算的综合性命题，具有高速公路行业特性要求、具有我省用能负载特殊性要求、具有我省节能手段情况特殊性要求等，建筑行业国标无法全面且有效的指导我</w:t>
      </w:r>
      <w:r>
        <w:rPr>
          <w:rFonts w:eastAsia="仿宋_GB2312" w:cs="Times New Roman" w:hint="eastAsia"/>
          <w:color w:val="000000" w:themeColor="text1"/>
          <w:sz w:val="32"/>
          <w:szCs w:val="32"/>
        </w:rPr>
        <w:lastRenderedPageBreak/>
        <w:t>省高速公路</w:t>
      </w:r>
      <w:proofErr w:type="gramStart"/>
      <w:r>
        <w:rPr>
          <w:rFonts w:eastAsia="仿宋_GB2312" w:cs="Times New Roman" w:hint="eastAsia"/>
          <w:color w:val="000000" w:themeColor="text1"/>
          <w:sz w:val="32"/>
          <w:szCs w:val="32"/>
        </w:rPr>
        <w:t>近零碳服务区</w:t>
      </w:r>
      <w:proofErr w:type="gramEnd"/>
      <w:r>
        <w:rPr>
          <w:rFonts w:eastAsia="仿宋_GB2312" w:cs="Times New Roman" w:hint="eastAsia"/>
          <w:color w:val="000000" w:themeColor="text1"/>
          <w:sz w:val="32"/>
          <w:szCs w:val="32"/>
        </w:rPr>
        <w:t>的建设。</w:t>
      </w:r>
    </w:p>
    <w:p w14:paraId="4D42785C"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故此，本技术指导性文件的编制具有充分的必要性，具备如下积极意义：</w:t>
      </w:r>
    </w:p>
    <w:p w14:paraId="0A104CDF"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编制</w:t>
      </w:r>
      <w:proofErr w:type="gramStart"/>
      <w:r>
        <w:rPr>
          <w:rFonts w:eastAsia="仿宋_GB2312" w:cs="Times New Roman" w:hint="eastAsia"/>
          <w:color w:val="000000" w:themeColor="text1"/>
          <w:sz w:val="32"/>
          <w:szCs w:val="32"/>
        </w:rPr>
        <w:t>近零碳服务区</w:t>
      </w:r>
      <w:proofErr w:type="gramEnd"/>
      <w:r>
        <w:rPr>
          <w:rFonts w:eastAsia="仿宋_GB2312" w:cs="Times New Roman" w:hint="eastAsia"/>
          <w:color w:val="000000" w:themeColor="text1"/>
          <w:sz w:val="32"/>
          <w:szCs w:val="32"/>
        </w:rPr>
        <w:t>建设指南，是对国家政策的积极响应和深入贯彻落实。</w:t>
      </w:r>
    </w:p>
    <w:p w14:paraId="2E61CC9F"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通过</w:t>
      </w:r>
      <w:proofErr w:type="gramStart"/>
      <w:r>
        <w:rPr>
          <w:rFonts w:eastAsia="仿宋_GB2312" w:cs="Times New Roman" w:hint="eastAsia"/>
          <w:color w:val="000000" w:themeColor="text1"/>
          <w:sz w:val="32"/>
          <w:szCs w:val="32"/>
        </w:rPr>
        <w:t>指导近零碳</w:t>
      </w:r>
      <w:proofErr w:type="gramEnd"/>
      <w:r>
        <w:rPr>
          <w:rFonts w:eastAsia="仿宋_GB2312" w:cs="Times New Roman" w:hint="eastAsia"/>
          <w:color w:val="000000" w:themeColor="text1"/>
          <w:sz w:val="32"/>
          <w:szCs w:val="32"/>
        </w:rPr>
        <w:t>服务区，可以显著降低高速公路服务区的碳排放量，有助于减少对传统能源的依赖，保护环境。</w:t>
      </w:r>
    </w:p>
    <w:p w14:paraId="78F3BFC8" w14:textId="77777777" w:rsidR="00DB642A" w:rsidRDefault="00000000">
      <w:pPr>
        <w:spacing w:line="560" w:lineRule="exact"/>
        <w:ind w:firstLineChars="200" w:firstLine="640"/>
        <w:rPr>
          <w:rFonts w:eastAsia="仿宋_GB2312" w:cs="Times New Roman"/>
          <w:color w:val="000000" w:themeColor="text1"/>
          <w:sz w:val="32"/>
          <w:szCs w:val="32"/>
        </w:rPr>
      </w:pPr>
      <w:proofErr w:type="gramStart"/>
      <w:r>
        <w:rPr>
          <w:rFonts w:eastAsia="仿宋_GB2312" w:cs="Times New Roman" w:hint="eastAsia"/>
          <w:color w:val="000000" w:themeColor="text1"/>
          <w:sz w:val="32"/>
          <w:szCs w:val="32"/>
        </w:rPr>
        <w:t>近零碳服务区</w:t>
      </w:r>
      <w:proofErr w:type="gramEnd"/>
      <w:r>
        <w:rPr>
          <w:rFonts w:eastAsia="仿宋_GB2312" w:cs="Times New Roman" w:hint="eastAsia"/>
          <w:color w:val="000000" w:themeColor="text1"/>
          <w:sz w:val="32"/>
          <w:szCs w:val="32"/>
        </w:rPr>
        <w:t>的太阳能、风能等建设重点可以降低碳排放，提高服务区的能源利用效率，减少能源浪费。编制建设指南可以规范这些技术的应用，确保其在广东省的高速公路服务区中得到有效合理推广。</w:t>
      </w:r>
    </w:p>
    <w:p w14:paraId="3A115B8F" w14:textId="77777777" w:rsidR="00DB642A" w:rsidRDefault="00000000">
      <w:pPr>
        <w:spacing w:line="560" w:lineRule="exact"/>
        <w:ind w:firstLineChars="200" w:firstLine="640"/>
        <w:rPr>
          <w:rFonts w:eastAsia="仿宋_GB2312" w:cs="Times New Roman"/>
          <w:color w:val="000000" w:themeColor="text1"/>
          <w:sz w:val="32"/>
          <w:szCs w:val="32"/>
        </w:rPr>
      </w:pPr>
      <w:proofErr w:type="gramStart"/>
      <w:r>
        <w:rPr>
          <w:rFonts w:eastAsia="仿宋_GB2312" w:cs="Times New Roman" w:hint="eastAsia"/>
          <w:color w:val="000000" w:themeColor="text1"/>
          <w:sz w:val="32"/>
          <w:szCs w:val="32"/>
        </w:rPr>
        <w:t>近零碳服务区</w:t>
      </w:r>
      <w:proofErr w:type="gramEnd"/>
      <w:r>
        <w:rPr>
          <w:rFonts w:eastAsia="仿宋_GB2312" w:cs="Times New Roman" w:hint="eastAsia"/>
          <w:color w:val="000000" w:themeColor="text1"/>
          <w:sz w:val="32"/>
          <w:szCs w:val="32"/>
        </w:rPr>
        <w:t>的建设将带动相关产业的发展，如新能源产业、节能环保产业等。编制建设指南有助于明确这些技术的应用标准和方向，为相关产业提供发展机遇。</w:t>
      </w:r>
    </w:p>
    <w:p w14:paraId="46F25930"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广东省交通网络发达，高速公路服务区众多，通过编制</w:t>
      </w:r>
      <w:proofErr w:type="gramStart"/>
      <w:r>
        <w:rPr>
          <w:rFonts w:eastAsia="仿宋_GB2312" w:cs="Times New Roman" w:hint="eastAsia"/>
          <w:color w:val="000000" w:themeColor="text1"/>
          <w:sz w:val="32"/>
          <w:szCs w:val="32"/>
        </w:rPr>
        <w:t>近零碳服务区</w:t>
      </w:r>
      <w:proofErr w:type="gramEnd"/>
      <w:r>
        <w:rPr>
          <w:rFonts w:eastAsia="仿宋_GB2312" w:cs="Times New Roman" w:hint="eastAsia"/>
          <w:color w:val="000000" w:themeColor="text1"/>
          <w:sz w:val="32"/>
          <w:szCs w:val="32"/>
        </w:rPr>
        <w:t>建设指南并付诸实践，可以将广东省的高速公路服务区打造成绿色交通的典范，为全国其他地区提供可借鉴的经验。</w:t>
      </w:r>
    </w:p>
    <w:p w14:paraId="5A5450EA" w14:textId="77777777" w:rsidR="00DB642A" w:rsidRDefault="00000000">
      <w:pPr>
        <w:pStyle w:val="1"/>
        <w:spacing w:before="0" w:after="0" w:line="560" w:lineRule="exact"/>
        <w:ind w:firstLineChars="200" w:firstLine="640"/>
        <w:jc w:val="left"/>
        <w:rPr>
          <w:rFonts w:eastAsia="黑体" w:cs="Times New Roman"/>
          <w:b w:val="0"/>
          <w:bCs w:val="0"/>
          <w:color w:val="000000" w:themeColor="text1"/>
          <w:sz w:val="32"/>
          <w:szCs w:val="32"/>
        </w:rPr>
      </w:pPr>
      <w:bookmarkStart w:id="10" w:name="_Toc184821100"/>
      <w:r>
        <w:rPr>
          <w:rFonts w:eastAsia="黑体" w:cs="Times New Roman"/>
          <w:b w:val="0"/>
          <w:bCs w:val="0"/>
          <w:color w:val="000000" w:themeColor="text1"/>
          <w:sz w:val="32"/>
          <w:szCs w:val="32"/>
        </w:rPr>
        <w:t>三、</w:t>
      </w:r>
      <w:r>
        <w:rPr>
          <w:rFonts w:eastAsia="黑体" w:cs="Times New Roman" w:hint="eastAsia"/>
          <w:b w:val="0"/>
          <w:bCs w:val="0"/>
          <w:color w:val="000000" w:themeColor="text1"/>
          <w:sz w:val="32"/>
          <w:szCs w:val="32"/>
        </w:rPr>
        <w:t>编制原则、思路</w:t>
      </w:r>
      <w:bookmarkEnd w:id="10"/>
    </w:p>
    <w:p w14:paraId="6FB10FF9" w14:textId="77777777" w:rsidR="00DB642A" w:rsidRDefault="00000000">
      <w:pPr>
        <w:spacing w:line="560" w:lineRule="exact"/>
        <w:ind w:firstLineChars="200" w:firstLine="640"/>
        <w:rPr>
          <w:rFonts w:eastAsia="仿宋_GB2312" w:cs="Times New Roman"/>
          <w:color w:val="000000" w:themeColor="text1"/>
          <w:sz w:val="32"/>
          <w:szCs w:val="32"/>
        </w:rPr>
      </w:pPr>
      <w:commentRangeStart w:id="11"/>
      <w:r w:rsidRPr="00B47D45">
        <w:rPr>
          <w:rFonts w:eastAsia="仿宋_GB2312" w:cs="Times New Roman"/>
          <w:color w:val="000000" w:themeColor="text1"/>
          <w:sz w:val="32"/>
          <w:szCs w:val="32"/>
          <w:highlight w:val="yellow"/>
        </w:rPr>
        <w:t>本</w:t>
      </w:r>
      <w:r w:rsidRPr="00B47D45">
        <w:rPr>
          <w:rFonts w:eastAsia="仿宋_GB2312" w:cs="Times New Roman" w:hint="eastAsia"/>
          <w:color w:val="000000" w:themeColor="text1"/>
          <w:sz w:val="32"/>
          <w:szCs w:val="32"/>
          <w:highlight w:val="yellow"/>
        </w:rPr>
        <w:t>文件</w:t>
      </w:r>
      <w:r w:rsidRPr="00B47D45">
        <w:rPr>
          <w:rFonts w:eastAsia="仿宋_GB2312" w:cs="Times New Roman"/>
          <w:color w:val="000000" w:themeColor="text1"/>
          <w:sz w:val="32"/>
          <w:szCs w:val="32"/>
          <w:highlight w:val="yellow"/>
        </w:rPr>
        <w:t>严格按照</w:t>
      </w:r>
      <w:r w:rsidRPr="00B47D45">
        <w:rPr>
          <w:rFonts w:eastAsia="仿宋_GB2312" w:cs="Times New Roman"/>
          <w:color w:val="000000" w:themeColor="text1"/>
          <w:sz w:val="32"/>
          <w:szCs w:val="32"/>
          <w:highlight w:val="yellow"/>
        </w:rPr>
        <w:t>GB/T 1.1-2020</w:t>
      </w:r>
      <w:r w:rsidRPr="00B47D45">
        <w:rPr>
          <w:rFonts w:eastAsia="仿宋_GB2312" w:cs="Times New Roman"/>
          <w:color w:val="000000" w:themeColor="text1"/>
          <w:sz w:val="32"/>
          <w:szCs w:val="32"/>
          <w:highlight w:val="yellow"/>
        </w:rPr>
        <w:t>的要求进行编写</w:t>
      </w:r>
      <w:commentRangeEnd w:id="11"/>
      <w:r w:rsidR="00DD710F">
        <w:rPr>
          <w:rStyle w:val="aff"/>
          <w:rFonts w:ascii="Calibri" w:hAnsi="Calibri" w:cs="Times New Roman"/>
        </w:rPr>
        <w:commentReference w:id="11"/>
      </w:r>
      <w:r>
        <w:rPr>
          <w:rFonts w:eastAsia="仿宋_GB2312" w:cs="Times New Roman"/>
          <w:color w:val="000000" w:themeColor="text1"/>
          <w:sz w:val="32"/>
          <w:szCs w:val="32"/>
        </w:rPr>
        <w:t>，遵循</w:t>
      </w:r>
      <w:r>
        <w:rPr>
          <w:rFonts w:eastAsia="仿宋_GB2312" w:cs="Times New Roman"/>
          <w:color w:val="000000" w:themeColor="text1"/>
          <w:sz w:val="32"/>
          <w:szCs w:val="32"/>
        </w:rPr>
        <w:t>“</w:t>
      </w:r>
      <w:r>
        <w:rPr>
          <w:rFonts w:eastAsia="仿宋_GB2312" w:cs="Times New Roman"/>
          <w:color w:val="000000" w:themeColor="text1"/>
          <w:sz w:val="32"/>
          <w:szCs w:val="32"/>
        </w:rPr>
        <w:t>相关性、一致性、准确性、透明性、真实性</w:t>
      </w:r>
      <w:r>
        <w:rPr>
          <w:rFonts w:eastAsia="仿宋_GB2312" w:cs="Times New Roman"/>
          <w:color w:val="000000" w:themeColor="text1"/>
          <w:sz w:val="32"/>
          <w:szCs w:val="32"/>
        </w:rPr>
        <w:t>”</w:t>
      </w:r>
      <w:r>
        <w:rPr>
          <w:rFonts w:eastAsia="仿宋_GB2312" w:cs="Times New Roman"/>
          <w:color w:val="000000" w:themeColor="text1"/>
          <w:sz w:val="32"/>
          <w:szCs w:val="32"/>
        </w:rPr>
        <w:t>的基本原则，贯彻落实国家有关法律、法规、方针和政策，借鉴公路等相关行业的相关规程、规范要求，结合广东省交通路网特性，适应当前建设发展和新形势新发展理念，并按照经济实用、</w:t>
      </w:r>
      <w:r>
        <w:rPr>
          <w:rFonts w:eastAsia="仿宋_GB2312" w:cs="Times New Roman"/>
          <w:color w:val="000000" w:themeColor="text1"/>
          <w:sz w:val="32"/>
          <w:szCs w:val="32"/>
        </w:rPr>
        <w:lastRenderedPageBreak/>
        <w:t>重点突出、高效协调、安全绿色、适度超前五大原则</w:t>
      </w:r>
      <w:r>
        <w:rPr>
          <w:rFonts w:eastAsia="仿宋_GB2312" w:cs="Times New Roman" w:hint="eastAsia"/>
          <w:color w:val="000000" w:themeColor="text1"/>
          <w:sz w:val="32"/>
          <w:szCs w:val="32"/>
        </w:rPr>
        <w:t>为思路开展</w:t>
      </w:r>
      <w:r>
        <w:rPr>
          <w:rFonts w:eastAsia="仿宋_GB2312" w:cs="Times New Roman"/>
          <w:color w:val="000000" w:themeColor="text1"/>
          <w:sz w:val="32"/>
          <w:szCs w:val="32"/>
        </w:rPr>
        <w:t>编制</w:t>
      </w:r>
      <w:r>
        <w:rPr>
          <w:rFonts w:eastAsia="仿宋_GB2312" w:cs="Times New Roman" w:hint="eastAsia"/>
          <w:color w:val="000000" w:themeColor="text1"/>
          <w:sz w:val="32"/>
          <w:szCs w:val="32"/>
        </w:rPr>
        <w:t>工作</w:t>
      </w:r>
      <w:r>
        <w:rPr>
          <w:rFonts w:eastAsia="仿宋_GB2312" w:cs="Times New Roman"/>
          <w:color w:val="000000" w:themeColor="text1"/>
          <w:sz w:val="32"/>
          <w:szCs w:val="32"/>
        </w:rPr>
        <w:t>。</w:t>
      </w:r>
    </w:p>
    <w:p w14:paraId="76BEC408" w14:textId="77777777" w:rsidR="00DB642A" w:rsidRDefault="00000000">
      <w:pPr>
        <w:pStyle w:val="1"/>
        <w:spacing w:before="0" w:after="0" w:line="560" w:lineRule="exact"/>
        <w:ind w:firstLineChars="200" w:firstLine="640"/>
        <w:jc w:val="left"/>
        <w:rPr>
          <w:rFonts w:eastAsia="黑体" w:cs="Times New Roman"/>
          <w:b w:val="0"/>
          <w:bCs w:val="0"/>
          <w:color w:val="000000" w:themeColor="text1"/>
          <w:sz w:val="32"/>
          <w:szCs w:val="32"/>
        </w:rPr>
      </w:pPr>
      <w:bookmarkStart w:id="12" w:name="_Toc184821101"/>
      <w:r>
        <w:rPr>
          <w:rFonts w:eastAsia="黑体" w:cs="Times New Roman" w:hint="eastAsia"/>
          <w:b w:val="0"/>
          <w:bCs w:val="0"/>
          <w:color w:val="000000" w:themeColor="text1"/>
          <w:sz w:val="32"/>
          <w:szCs w:val="32"/>
        </w:rPr>
        <w:t>四、主要内容及其确定依据</w:t>
      </w:r>
      <w:bookmarkEnd w:id="12"/>
    </w:p>
    <w:p w14:paraId="0F735B6C" w14:textId="77777777" w:rsidR="00DB642A" w:rsidRDefault="00000000" w:rsidP="00B27CB8">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本标准的制定工作遵循先进性、科学性、合理性和可操作性的原则，</w:t>
      </w:r>
      <w:r w:rsidRPr="00B47D45">
        <w:rPr>
          <w:rFonts w:eastAsia="仿宋_GB2312" w:cs="Times New Roman" w:hint="eastAsia"/>
          <w:color w:val="000000" w:themeColor="text1"/>
          <w:sz w:val="32"/>
          <w:szCs w:val="32"/>
          <w:highlight w:val="yellow"/>
        </w:rPr>
        <w:t>按照</w:t>
      </w:r>
      <w:r w:rsidRPr="00B47D45">
        <w:rPr>
          <w:rFonts w:eastAsia="仿宋_GB2312" w:cs="Times New Roman" w:hint="eastAsia"/>
          <w:color w:val="000000" w:themeColor="text1"/>
          <w:sz w:val="32"/>
          <w:szCs w:val="32"/>
          <w:highlight w:val="yellow"/>
        </w:rPr>
        <w:t>GB/T 1.1</w:t>
      </w:r>
      <w:r w:rsidRPr="00B47D45">
        <w:rPr>
          <w:rFonts w:eastAsia="仿宋_GB2312" w:cs="Times New Roman" w:hint="eastAsia"/>
          <w:color w:val="000000" w:themeColor="text1"/>
          <w:sz w:val="32"/>
          <w:szCs w:val="32"/>
          <w:highlight w:val="yellow"/>
        </w:rPr>
        <w:t>—</w:t>
      </w:r>
      <w:r w:rsidRPr="00B47D45">
        <w:rPr>
          <w:rFonts w:eastAsia="仿宋_GB2312" w:cs="Times New Roman" w:hint="eastAsia"/>
          <w:color w:val="000000" w:themeColor="text1"/>
          <w:sz w:val="32"/>
          <w:szCs w:val="32"/>
          <w:highlight w:val="yellow"/>
        </w:rPr>
        <w:t>2020</w:t>
      </w:r>
      <w:r w:rsidRPr="00B47D45">
        <w:rPr>
          <w:rFonts w:eastAsia="仿宋_GB2312" w:cs="Times New Roman" w:hint="eastAsia"/>
          <w:color w:val="000000" w:themeColor="text1"/>
          <w:sz w:val="32"/>
          <w:szCs w:val="32"/>
          <w:highlight w:val="yellow"/>
        </w:rPr>
        <w:t>《标准化工作导则</w:t>
      </w:r>
      <w:r w:rsidRPr="00B47D45">
        <w:rPr>
          <w:rFonts w:eastAsia="仿宋_GB2312" w:cs="Times New Roman" w:hint="eastAsia"/>
          <w:color w:val="000000" w:themeColor="text1"/>
          <w:sz w:val="32"/>
          <w:szCs w:val="32"/>
          <w:highlight w:val="yellow"/>
        </w:rPr>
        <w:t xml:space="preserve"> </w:t>
      </w:r>
      <w:r w:rsidRPr="00B47D45">
        <w:rPr>
          <w:rFonts w:eastAsia="仿宋_GB2312" w:cs="Times New Roman" w:hint="eastAsia"/>
          <w:color w:val="000000" w:themeColor="text1"/>
          <w:sz w:val="32"/>
          <w:szCs w:val="32"/>
          <w:highlight w:val="yellow"/>
        </w:rPr>
        <w:t>第一部分：标准的结构和编写》</w:t>
      </w:r>
      <w:r>
        <w:rPr>
          <w:rFonts w:eastAsia="仿宋_GB2312" w:cs="Times New Roman" w:hint="eastAsia"/>
          <w:color w:val="000000" w:themeColor="text1"/>
          <w:sz w:val="32"/>
          <w:szCs w:val="32"/>
        </w:rPr>
        <w:t>给出的规则编写。</w:t>
      </w:r>
      <w:r w:rsidR="00B27CB8">
        <w:rPr>
          <w:rFonts w:eastAsia="仿宋_GB2312" w:cs="Times New Roman" w:hint="eastAsia"/>
          <w:color w:val="000000" w:themeColor="text1"/>
          <w:sz w:val="32"/>
          <w:szCs w:val="32"/>
        </w:rPr>
        <w:t>各章节的内容的主要确定依据除主、参编单位自身经验外，</w:t>
      </w:r>
      <w:r>
        <w:rPr>
          <w:rFonts w:eastAsia="仿宋_GB2312" w:cs="Times New Roman"/>
          <w:color w:val="000000" w:themeColor="text1"/>
          <w:sz w:val="32"/>
          <w:szCs w:val="32"/>
        </w:rPr>
        <w:t>在</w:t>
      </w:r>
      <w:r>
        <w:rPr>
          <w:rFonts w:eastAsia="仿宋_GB2312" w:cs="Times New Roman" w:hint="eastAsia"/>
          <w:color w:val="000000" w:themeColor="text1"/>
          <w:sz w:val="32"/>
          <w:szCs w:val="32"/>
        </w:rPr>
        <w:t>编制过程中</w:t>
      </w:r>
      <w:r w:rsidR="00B27CB8">
        <w:rPr>
          <w:rFonts w:eastAsia="仿宋_GB2312" w:cs="Times New Roman" w:hint="eastAsia"/>
          <w:color w:val="000000" w:themeColor="text1"/>
          <w:sz w:val="32"/>
          <w:szCs w:val="32"/>
        </w:rPr>
        <w:t>主要</w:t>
      </w:r>
      <w:r>
        <w:rPr>
          <w:rFonts w:eastAsia="仿宋_GB2312" w:cs="Times New Roman"/>
          <w:color w:val="000000" w:themeColor="text1"/>
          <w:sz w:val="32"/>
          <w:szCs w:val="32"/>
        </w:rPr>
        <w:t>参考</w:t>
      </w:r>
      <w:r>
        <w:rPr>
          <w:rFonts w:eastAsia="仿宋_GB2312" w:cs="Times New Roman" w:hint="eastAsia"/>
          <w:color w:val="000000" w:themeColor="text1"/>
          <w:sz w:val="32"/>
          <w:szCs w:val="32"/>
        </w:rPr>
        <w:t>了</w:t>
      </w:r>
      <w:r>
        <w:rPr>
          <w:rFonts w:eastAsia="仿宋_GB2312" w:cs="Times New Roman"/>
          <w:color w:val="000000" w:themeColor="text1"/>
          <w:sz w:val="32"/>
          <w:szCs w:val="32"/>
        </w:rPr>
        <w:t>以下</w:t>
      </w:r>
      <w:r>
        <w:rPr>
          <w:rFonts w:eastAsia="仿宋_GB2312" w:cs="Times New Roman" w:hint="eastAsia"/>
          <w:color w:val="000000" w:themeColor="text1"/>
          <w:sz w:val="32"/>
          <w:szCs w:val="32"/>
        </w:rPr>
        <w:t>标准</w:t>
      </w:r>
      <w:r>
        <w:rPr>
          <w:rFonts w:eastAsia="仿宋_GB2312" w:cs="Times New Roman"/>
          <w:color w:val="000000" w:themeColor="text1"/>
          <w:sz w:val="32"/>
          <w:szCs w:val="32"/>
        </w:rPr>
        <w:t>：</w:t>
      </w:r>
    </w:p>
    <w:p w14:paraId="57870318" w14:textId="77777777" w:rsidR="00DB642A" w:rsidRDefault="00000000" w:rsidP="00D03CA6">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公共建筑节能设计标准</w:t>
      </w:r>
      <w:r w:rsidR="00D03CA6">
        <w:rPr>
          <w:rFonts w:eastAsia="仿宋_GB2312" w:cs="Times New Roman" w:hint="eastAsia"/>
          <w:color w:val="000000" w:themeColor="text1"/>
          <w:sz w:val="32"/>
          <w:szCs w:val="32"/>
        </w:rPr>
        <w:t>（</w:t>
      </w:r>
      <w:r w:rsidR="00D03CA6">
        <w:rPr>
          <w:rFonts w:eastAsia="仿宋_GB2312" w:cs="Times New Roman" w:hint="eastAsia"/>
          <w:color w:val="000000" w:themeColor="text1"/>
          <w:sz w:val="32"/>
          <w:szCs w:val="32"/>
        </w:rPr>
        <w:t>GB 5018</w:t>
      </w:r>
      <w:r w:rsidR="00D03CA6">
        <w:rPr>
          <w:rFonts w:eastAsia="仿宋_GB2312" w:cs="Times New Roman" w:hint="eastAsia"/>
          <w:color w:val="000000" w:themeColor="text1"/>
          <w:sz w:val="32"/>
          <w:szCs w:val="32"/>
        </w:rPr>
        <w:t>）、</w:t>
      </w:r>
      <w:r>
        <w:rPr>
          <w:rFonts w:eastAsia="仿宋_GB2312" w:cs="Times New Roman" w:hint="eastAsia"/>
          <w:color w:val="000000" w:themeColor="text1"/>
          <w:sz w:val="32"/>
          <w:szCs w:val="32"/>
        </w:rPr>
        <w:t>民用建筑节水设计标准</w:t>
      </w:r>
      <w:r w:rsidR="00D03CA6">
        <w:rPr>
          <w:rFonts w:eastAsia="仿宋_GB2312" w:cs="Times New Roman" w:hint="eastAsia"/>
          <w:color w:val="000000" w:themeColor="text1"/>
          <w:sz w:val="32"/>
          <w:szCs w:val="32"/>
        </w:rPr>
        <w:t>（</w:t>
      </w:r>
      <w:r w:rsidR="00D03CA6">
        <w:rPr>
          <w:rFonts w:eastAsia="仿宋_GB2312" w:cs="Times New Roman" w:hint="eastAsia"/>
          <w:color w:val="000000" w:themeColor="text1"/>
          <w:sz w:val="32"/>
          <w:szCs w:val="32"/>
        </w:rPr>
        <w:t>GB 50555</w:t>
      </w:r>
      <w:r w:rsidR="00D03CA6">
        <w:rPr>
          <w:rFonts w:eastAsia="仿宋_GB2312" w:cs="Times New Roman" w:hint="eastAsia"/>
          <w:color w:val="000000" w:themeColor="text1"/>
          <w:sz w:val="32"/>
          <w:szCs w:val="32"/>
        </w:rPr>
        <w:t>）、</w:t>
      </w:r>
      <w:r>
        <w:rPr>
          <w:rFonts w:eastAsia="仿宋_GB2312" w:cs="Times New Roman" w:hint="eastAsia"/>
          <w:color w:val="000000" w:themeColor="text1"/>
          <w:sz w:val="32"/>
          <w:szCs w:val="32"/>
        </w:rPr>
        <w:t>民用建筑供暖通风与空气调节设计规范</w:t>
      </w:r>
      <w:r w:rsidR="00D03CA6">
        <w:rPr>
          <w:rFonts w:eastAsia="仿宋_GB2312" w:cs="Times New Roman" w:hint="eastAsia"/>
          <w:color w:val="000000" w:themeColor="text1"/>
          <w:sz w:val="32"/>
          <w:szCs w:val="32"/>
        </w:rPr>
        <w:t>（</w:t>
      </w:r>
      <w:r w:rsidR="00D03CA6">
        <w:rPr>
          <w:rFonts w:eastAsia="仿宋_GB2312" w:cs="Times New Roman" w:hint="eastAsia"/>
          <w:color w:val="000000" w:themeColor="text1"/>
          <w:sz w:val="32"/>
          <w:szCs w:val="32"/>
        </w:rPr>
        <w:t>GB 50736</w:t>
      </w:r>
      <w:r w:rsidR="00D03CA6">
        <w:rPr>
          <w:rFonts w:eastAsia="仿宋_GB2312" w:cs="Times New Roman" w:hint="eastAsia"/>
          <w:color w:val="000000" w:themeColor="text1"/>
          <w:sz w:val="32"/>
          <w:szCs w:val="32"/>
        </w:rPr>
        <w:t>）</w:t>
      </w:r>
      <w:r>
        <w:rPr>
          <w:rFonts w:eastAsia="仿宋_GB2312" w:cs="Times New Roman" w:hint="eastAsia"/>
          <w:color w:val="000000" w:themeColor="text1"/>
          <w:sz w:val="32"/>
          <w:szCs w:val="32"/>
        </w:rPr>
        <w:t xml:space="preserve"> </w:t>
      </w:r>
      <w:r w:rsidR="00D03CA6">
        <w:rPr>
          <w:rFonts w:eastAsia="仿宋_GB2312" w:cs="Times New Roman" w:hint="eastAsia"/>
          <w:color w:val="000000" w:themeColor="text1"/>
          <w:sz w:val="32"/>
          <w:szCs w:val="32"/>
        </w:rPr>
        <w:t>、</w:t>
      </w:r>
      <w:r>
        <w:rPr>
          <w:rFonts w:eastAsia="仿宋_GB2312" w:cs="Times New Roman" w:hint="eastAsia"/>
          <w:color w:val="000000" w:themeColor="text1"/>
          <w:sz w:val="32"/>
          <w:szCs w:val="32"/>
        </w:rPr>
        <w:t>光伏发电接入配电网设计规范</w:t>
      </w:r>
      <w:r w:rsidR="00D03CA6">
        <w:rPr>
          <w:rFonts w:eastAsia="仿宋_GB2312" w:cs="Times New Roman" w:hint="eastAsia"/>
          <w:color w:val="000000" w:themeColor="text1"/>
          <w:sz w:val="32"/>
          <w:szCs w:val="32"/>
        </w:rPr>
        <w:t>（</w:t>
      </w:r>
      <w:r w:rsidR="00D03CA6">
        <w:rPr>
          <w:rFonts w:eastAsia="仿宋_GB2312" w:cs="Times New Roman" w:hint="eastAsia"/>
          <w:color w:val="000000" w:themeColor="text1"/>
          <w:sz w:val="32"/>
          <w:szCs w:val="32"/>
        </w:rPr>
        <w:t>GB/T 50865</w:t>
      </w:r>
      <w:r w:rsidR="00D03CA6">
        <w:rPr>
          <w:rFonts w:eastAsia="仿宋_GB2312" w:cs="Times New Roman" w:hint="eastAsia"/>
          <w:color w:val="000000" w:themeColor="text1"/>
          <w:sz w:val="32"/>
          <w:szCs w:val="32"/>
        </w:rPr>
        <w:t>）</w:t>
      </w:r>
      <w:r>
        <w:rPr>
          <w:rFonts w:eastAsia="仿宋_GB2312" w:cs="Times New Roman" w:hint="eastAsia"/>
          <w:color w:val="000000" w:themeColor="text1"/>
          <w:sz w:val="32"/>
          <w:szCs w:val="32"/>
        </w:rPr>
        <w:t>近零能耗建筑技术标准</w:t>
      </w:r>
      <w:r w:rsidR="00D03CA6">
        <w:rPr>
          <w:rFonts w:eastAsia="仿宋_GB2312" w:cs="Times New Roman" w:hint="eastAsia"/>
          <w:color w:val="000000" w:themeColor="text1"/>
          <w:sz w:val="32"/>
          <w:szCs w:val="32"/>
        </w:rPr>
        <w:t>（</w:t>
      </w:r>
      <w:r w:rsidR="00D03CA6">
        <w:rPr>
          <w:rFonts w:eastAsia="仿宋_GB2312" w:cs="Times New Roman" w:hint="eastAsia"/>
          <w:color w:val="000000" w:themeColor="text1"/>
          <w:sz w:val="32"/>
          <w:szCs w:val="32"/>
        </w:rPr>
        <w:t>GB/T 51350</w:t>
      </w:r>
      <w:r w:rsidR="00D03CA6">
        <w:rPr>
          <w:rFonts w:eastAsia="仿宋_GB2312" w:cs="Times New Roman" w:hint="eastAsia"/>
          <w:color w:val="000000" w:themeColor="text1"/>
          <w:sz w:val="32"/>
          <w:szCs w:val="32"/>
        </w:rPr>
        <w:t>）、建筑光</w:t>
      </w:r>
      <w:proofErr w:type="gramStart"/>
      <w:r w:rsidR="00D03CA6">
        <w:rPr>
          <w:rFonts w:eastAsia="仿宋_GB2312" w:cs="Times New Roman" w:hint="eastAsia"/>
          <w:color w:val="000000" w:themeColor="text1"/>
          <w:sz w:val="32"/>
          <w:szCs w:val="32"/>
        </w:rPr>
        <w:t>伏系统</w:t>
      </w:r>
      <w:proofErr w:type="gramEnd"/>
      <w:r w:rsidR="00D03CA6">
        <w:rPr>
          <w:rFonts w:eastAsia="仿宋_GB2312" w:cs="Times New Roman" w:hint="eastAsia"/>
          <w:color w:val="000000" w:themeColor="text1"/>
          <w:sz w:val="32"/>
          <w:szCs w:val="32"/>
        </w:rPr>
        <w:t>应用技术标准（</w:t>
      </w:r>
      <w:r>
        <w:rPr>
          <w:rFonts w:eastAsia="仿宋_GB2312" w:cs="Times New Roman" w:hint="eastAsia"/>
          <w:color w:val="000000" w:themeColor="text1"/>
          <w:sz w:val="32"/>
          <w:szCs w:val="32"/>
        </w:rPr>
        <w:t>GB/T 51368</w:t>
      </w:r>
      <w:r w:rsidR="00D03CA6">
        <w:rPr>
          <w:rFonts w:eastAsia="仿宋_GB2312" w:cs="Times New Roman"/>
          <w:color w:val="000000" w:themeColor="text1"/>
          <w:sz w:val="32"/>
          <w:szCs w:val="32"/>
        </w:rPr>
        <w:t>）</w:t>
      </w:r>
      <w:r w:rsidR="00D03CA6">
        <w:rPr>
          <w:rFonts w:eastAsia="仿宋_GB2312" w:cs="Times New Roman" w:hint="eastAsia"/>
          <w:color w:val="000000" w:themeColor="text1"/>
          <w:sz w:val="32"/>
          <w:szCs w:val="32"/>
        </w:rPr>
        <w:t>。</w:t>
      </w:r>
    </w:p>
    <w:p w14:paraId="718E86C8" w14:textId="77777777" w:rsidR="00A267F7" w:rsidRPr="00A267F7" w:rsidRDefault="00000000" w:rsidP="00A267F7">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主要内容方面，范围章节（对应第一章）：明确</w:t>
      </w:r>
      <w:r w:rsidR="00A267F7" w:rsidRPr="00A267F7">
        <w:rPr>
          <w:rFonts w:eastAsia="仿宋_GB2312" w:cs="Times New Roman" w:hint="eastAsia"/>
          <w:color w:val="000000" w:themeColor="text1"/>
          <w:sz w:val="32"/>
          <w:szCs w:val="32"/>
        </w:rPr>
        <w:t>本文件</w:t>
      </w:r>
      <w:r w:rsidR="00A267F7">
        <w:rPr>
          <w:rFonts w:eastAsia="仿宋_GB2312" w:cs="Times New Roman" w:hint="eastAsia"/>
          <w:color w:val="000000" w:themeColor="text1"/>
          <w:sz w:val="32"/>
          <w:szCs w:val="32"/>
        </w:rPr>
        <w:t>的主要内容，即</w:t>
      </w:r>
      <w:r w:rsidR="000724C8">
        <w:rPr>
          <w:rFonts w:eastAsia="仿宋_GB2312" w:cs="Times New Roman" w:hint="eastAsia"/>
          <w:color w:val="000000" w:themeColor="text1"/>
          <w:sz w:val="32"/>
          <w:szCs w:val="32"/>
        </w:rPr>
        <w:t>本文件</w:t>
      </w:r>
      <w:r w:rsidR="00A267F7" w:rsidRPr="00A267F7">
        <w:rPr>
          <w:rFonts w:eastAsia="仿宋_GB2312" w:cs="Times New Roman" w:hint="eastAsia"/>
          <w:color w:val="000000" w:themeColor="text1"/>
          <w:sz w:val="32"/>
          <w:szCs w:val="32"/>
        </w:rPr>
        <w:t>规定</w:t>
      </w:r>
      <w:r w:rsidR="000724C8">
        <w:rPr>
          <w:rFonts w:eastAsia="仿宋_GB2312" w:cs="Times New Roman" w:hint="eastAsia"/>
          <w:color w:val="000000" w:themeColor="text1"/>
          <w:sz w:val="32"/>
          <w:szCs w:val="32"/>
        </w:rPr>
        <w:t>了</w:t>
      </w:r>
      <w:proofErr w:type="gramStart"/>
      <w:r w:rsidR="00A267F7" w:rsidRPr="00A267F7">
        <w:rPr>
          <w:rFonts w:eastAsia="仿宋_GB2312" w:cs="Times New Roman" w:hint="eastAsia"/>
          <w:color w:val="000000" w:themeColor="text1"/>
          <w:sz w:val="32"/>
          <w:szCs w:val="32"/>
        </w:rPr>
        <w:t>近零碳高速公路</w:t>
      </w:r>
      <w:proofErr w:type="gramEnd"/>
      <w:r w:rsidR="00A267F7" w:rsidRPr="00A267F7">
        <w:rPr>
          <w:rFonts w:eastAsia="仿宋_GB2312" w:cs="Times New Roman" w:hint="eastAsia"/>
          <w:color w:val="000000" w:themeColor="text1"/>
          <w:sz w:val="32"/>
          <w:szCs w:val="32"/>
        </w:rPr>
        <w:t>服务区的建设要求与运营</w:t>
      </w:r>
      <w:proofErr w:type="gramStart"/>
      <w:r w:rsidR="00A267F7" w:rsidRPr="00A267F7">
        <w:rPr>
          <w:rFonts w:eastAsia="仿宋_GB2312" w:cs="Times New Roman" w:hint="eastAsia"/>
          <w:color w:val="000000" w:themeColor="text1"/>
          <w:sz w:val="32"/>
          <w:szCs w:val="32"/>
        </w:rPr>
        <w:t>期评价</w:t>
      </w:r>
      <w:proofErr w:type="gramEnd"/>
      <w:r w:rsidR="00A267F7" w:rsidRPr="00A267F7">
        <w:rPr>
          <w:rFonts w:eastAsia="仿宋_GB2312" w:cs="Times New Roman" w:hint="eastAsia"/>
          <w:color w:val="000000" w:themeColor="text1"/>
          <w:sz w:val="32"/>
          <w:szCs w:val="32"/>
        </w:rPr>
        <w:t>方法。</w:t>
      </w:r>
      <w:r w:rsidR="00DD6A7C">
        <w:rPr>
          <w:rFonts w:eastAsia="仿宋_GB2312" w:cs="Times New Roman" w:hint="eastAsia"/>
          <w:color w:val="000000" w:themeColor="text1"/>
          <w:sz w:val="32"/>
          <w:szCs w:val="32"/>
        </w:rPr>
        <w:t>明确</w:t>
      </w:r>
      <w:r w:rsidR="00A267F7" w:rsidRPr="00A267F7">
        <w:rPr>
          <w:rFonts w:eastAsia="仿宋_GB2312" w:cs="Times New Roman" w:hint="eastAsia"/>
          <w:color w:val="000000" w:themeColor="text1"/>
          <w:sz w:val="32"/>
          <w:szCs w:val="32"/>
        </w:rPr>
        <w:t>本文件适用于广东省</w:t>
      </w:r>
      <w:proofErr w:type="gramStart"/>
      <w:r w:rsidR="00A267F7" w:rsidRPr="00A267F7">
        <w:rPr>
          <w:rFonts w:eastAsia="仿宋_GB2312" w:cs="Times New Roman" w:hint="eastAsia"/>
          <w:color w:val="000000" w:themeColor="text1"/>
          <w:sz w:val="32"/>
          <w:szCs w:val="32"/>
        </w:rPr>
        <w:t>近零碳高速公路</w:t>
      </w:r>
      <w:proofErr w:type="gramEnd"/>
      <w:r w:rsidR="00A267F7" w:rsidRPr="00A267F7">
        <w:rPr>
          <w:rFonts w:eastAsia="仿宋_GB2312" w:cs="Times New Roman" w:hint="eastAsia"/>
          <w:color w:val="000000" w:themeColor="text1"/>
          <w:sz w:val="32"/>
          <w:szCs w:val="32"/>
        </w:rPr>
        <w:t>服务区新建、改（扩）建，城市快速路可参考使用</w:t>
      </w:r>
      <w:r>
        <w:rPr>
          <w:rFonts w:eastAsia="仿宋_GB2312" w:cs="Times New Roman" w:hint="eastAsia"/>
          <w:color w:val="000000" w:themeColor="text1"/>
          <w:sz w:val="32"/>
          <w:szCs w:val="32"/>
        </w:rPr>
        <w:t>。</w:t>
      </w:r>
    </w:p>
    <w:p w14:paraId="03D5A969"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规范性引用文件章节（对应第二章）：指出本文件引用的其他规范性文件。</w:t>
      </w:r>
    </w:p>
    <w:p w14:paraId="36D0D346"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术语和定义章节（对应第三章）：对低碳服务区、</w:t>
      </w:r>
      <w:proofErr w:type="gramStart"/>
      <w:r>
        <w:rPr>
          <w:rFonts w:eastAsia="仿宋_GB2312" w:cs="Times New Roman" w:hint="eastAsia"/>
          <w:color w:val="000000" w:themeColor="text1"/>
          <w:sz w:val="32"/>
          <w:szCs w:val="32"/>
        </w:rPr>
        <w:t>近零碳服务区</w:t>
      </w:r>
      <w:proofErr w:type="gramEnd"/>
      <w:r>
        <w:rPr>
          <w:rFonts w:eastAsia="仿宋_GB2312" w:cs="Times New Roman" w:hint="eastAsia"/>
          <w:color w:val="000000" w:themeColor="text1"/>
          <w:sz w:val="32"/>
          <w:szCs w:val="32"/>
        </w:rPr>
        <w:t>、</w:t>
      </w:r>
      <w:proofErr w:type="gramStart"/>
      <w:r>
        <w:rPr>
          <w:rFonts w:eastAsia="仿宋_GB2312" w:cs="Times New Roman" w:hint="eastAsia"/>
          <w:color w:val="000000" w:themeColor="text1"/>
          <w:sz w:val="32"/>
          <w:szCs w:val="32"/>
        </w:rPr>
        <w:t>零碳服务区</w:t>
      </w:r>
      <w:proofErr w:type="gramEnd"/>
      <w:r>
        <w:rPr>
          <w:rFonts w:eastAsia="仿宋_GB2312" w:cs="Times New Roman" w:hint="eastAsia"/>
          <w:color w:val="000000" w:themeColor="text1"/>
          <w:sz w:val="32"/>
          <w:szCs w:val="32"/>
        </w:rPr>
        <w:t>和</w:t>
      </w:r>
      <w:proofErr w:type="gramStart"/>
      <w:r>
        <w:rPr>
          <w:rFonts w:eastAsia="仿宋_GB2312" w:cs="Times New Roman" w:hint="eastAsia"/>
          <w:color w:val="000000" w:themeColor="text1"/>
          <w:sz w:val="32"/>
          <w:szCs w:val="32"/>
        </w:rPr>
        <w:t>碳汇</w:t>
      </w:r>
      <w:proofErr w:type="gramEnd"/>
      <w:r>
        <w:rPr>
          <w:rFonts w:eastAsia="仿宋_GB2312" w:cs="Times New Roman" w:hint="eastAsia"/>
          <w:color w:val="000000" w:themeColor="text1"/>
          <w:sz w:val="32"/>
          <w:szCs w:val="32"/>
        </w:rPr>
        <w:t>等关键术语进行了明确的解释和定义。</w:t>
      </w:r>
    </w:p>
    <w:p w14:paraId="0445EBC4"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一般规定章节（对应第四章）：强调了通过多种技术措施实现服务区运营过程中的零碳化目标。措施主要包括开展</w:t>
      </w:r>
      <w:r>
        <w:rPr>
          <w:rFonts w:eastAsia="仿宋_GB2312" w:cs="Times New Roman" w:hint="eastAsia"/>
          <w:color w:val="000000" w:themeColor="text1"/>
          <w:sz w:val="32"/>
          <w:szCs w:val="32"/>
        </w:rPr>
        <w:lastRenderedPageBreak/>
        <w:t>建筑节能设计、积极利用清洁能源、建设数字化智能化的能源管理系统，以及加强</w:t>
      </w:r>
      <w:proofErr w:type="gramStart"/>
      <w:r>
        <w:rPr>
          <w:rFonts w:eastAsia="仿宋_GB2312" w:cs="Times New Roman" w:hint="eastAsia"/>
          <w:color w:val="000000" w:themeColor="text1"/>
          <w:sz w:val="32"/>
          <w:szCs w:val="32"/>
        </w:rPr>
        <w:t>污废资源</w:t>
      </w:r>
      <w:proofErr w:type="gramEnd"/>
      <w:r>
        <w:rPr>
          <w:rFonts w:eastAsia="仿宋_GB2312" w:cs="Times New Roman" w:hint="eastAsia"/>
          <w:color w:val="000000" w:themeColor="text1"/>
          <w:sz w:val="32"/>
          <w:szCs w:val="32"/>
        </w:rPr>
        <w:t>的循环利用设计等。此外，本章节对</w:t>
      </w:r>
      <w:proofErr w:type="gramStart"/>
      <w:r>
        <w:rPr>
          <w:rFonts w:eastAsia="仿宋_GB2312" w:cs="Times New Roman" w:hint="eastAsia"/>
          <w:color w:val="000000" w:themeColor="text1"/>
          <w:sz w:val="32"/>
          <w:szCs w:val="32"/>
        </w:rPr>
        <w:t>近零碳服务区</w:t>
      </w:r>
      <w:proofErr w:type="gramEnd"/>
      <w:r>
        <w:rPr>
          <w:rFonts w:eastAsia="仿宋_GB2312" w:cs="Times New Roman" w:hint="eastAsia"/>
          <w:color w:val="000000" w:themeColor="text1"/>
          <w:sz w:val="32"/>
          <w:szCs w:val="32"/>
        </w:rPr>
        <w:t>进行了等级划分，是本文件的核心章节。</w:t>
      </w:r>
    </w:p>
    <w:p w14:paraId="09726EAF"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场地布局与配套建设要求章节（对应第五章）：对</w:t>
      </w:r>
      <w:proofErr w:type="gramStart"/>
      <w:r>
        <w:rPr>
          <w:rFonts w:eastAsia="仿宋_GB2312" w:cs="Times New Roman" w:hint="eastAsia"/>
          <w:color w:val="000000" w:themeColor="text1"/>
          <w:sz w:val="32"/>
          <w:szCs w:val="32"/>
        </w:rPr>
        <w:t>近零碳服务区</w:t>
      </w:r>
      <w:proofErr w:type="gramEnd"/>
      <w:r>
        <w:rPr>
          <w:rFonts w:eastAsia="仿宋_GB2312" w:cs="Times New Roman" w:hint="eastAsia"/>
          <w:color w:val="000000" w:themeColor="text1"/>
          <w:sz w:val="32"/>
          <w:szCs w:val="32"/>
        </w:rPr>
        <w:t>的场地布局和场地配套进行了系统性要求，突出服务区</w:t>
      </w:r>
      <w:proofErr w:type="gramStart"/>
      <w:r>
        <w:rPr>
          <w:rFonts w:eastAsia="仿宋_GB2312" w:cs="Times New Roman" w:hint="eastAsia"/>
          <w:color w:val="000000" w:themeColor="text1"/>
          <w:sz w:val="32"/>
          <w:szCs w:val="32"/>
        </w:rPr>
        <w:t>碳减排应</w:t>
      </w:r>
      <w:proofErr w:type="gramEnd"/>
      <w:r>
        <w:rPr>
          <w:rFonts w:eastAsia="仿宋_GB2312" w:cs="Times New Roman" w:hint="eastAsia"/>
          <w:color w:val="000000" w:themeColor="text1"/>
          <w:sz w:val="32"/>
          <w:szCs w:val="32"/>
        </w:rPr>
        <w:t>遵循被动节能措施优先，规划设计阶段应充分利用场地气候环境条件，通过场地低影响开发和建筑本体节能性能的提升，从源头降低服务区的用</w:t>
      </w:r>
      <w:proofErr w:type="gramStart"/>
      <w:r>
        <w:rPr>
          <w:rFonts w:eastAsia="仿宋_GB2312" w:cs="Times New Roman" w:hint="eastAsia"/>
          <w:color w:val="000000" w:themeColor="text1"/>
          <w:sz w:val="32"/>
          <w:szCs w:val="32"/>
        </w:rPr>
        <w:t>能需求</w:t>
      </w:r>
      <w:proofErr w:type="gramEnd"/>
      <w:r>
        <w:rPr>
          <w:rFonts w:eastAsia="仿宋_GB2312" w:cs="Times New Roman" w:hint="eastAsia"/>
          <w:color w:val="000000" w:themeColor="text1"/>
          <w:sz w:val="32"/>
          <w:szCs w:val="32"/>
        </w:rPr>
        <w:t>的主旨要求。</w:t>
      </w:r>
    </w:p>
    <w:p w14:paraId="060CF70F"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建筑建设要求章节（对应第六章）：对建筑性能与能效、建筑保温隔热等进行了重点的建设指标要求。</w:t>
      </w:r>
    </w:p>
    <w:p w14:paraId="3A6EB8DD"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设施设备建设章节（对应第七章）：聚焦服务区照明、暖通空调、给排水、电气设备等用能负载的建设指标要求。</w:t>
      </w:r>
    </w:p>
    <w:p w14:paraId="44B6DBE3"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能源系统建设章节（对应第八章）：对用能规划、能源服务、能源监测与管理系统等进行了建设方案要求。</w:t>
      </w:r>
    </w:p>
    <w:p w14:paraId="361E78FE" w14:textId="77777777" w:rsidR="00DB642A" w:rsidRDefault="00000000" w:rsidP="006002B3">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碳排放</w:t>
      </w:r>
      <w:r w:rsidR="00B749CB">
        <w:rPr>
          <w:rFonts w:eastAsia="仿宋_GB2312" w:cs="Times New Roman" w:hint="eastAsia"/>
          <w:color w:val="000000" w:themeColor="text1"/>
          <w:sz w:val="32"/>
          <w:szCs w:val="32"/>
        </w:rPr>
        <w:t>核算与评价</w:t>
      </w:r>
      <w:r>
        <w:rPr>
          <w:rFonts w:eastAsia="仿宋_GB2312" w:cs="Times New Roman" w:hint="eastAsia"/>
          <w:color w:val="000000" w:themeColor="text1"/>
          <w:sz w:val="32"/>
          <w:szCs w:val="32"/>
        </w:rPr>
        <w:t>章节（对应第九章）：对项目碳排放的管理体系、管理制度等进行了要求</w:t>
      </w:r>
      <w:r w:rsidR="006002B3">
        <w:rPr>
          <w:rFonts w:eastAsia="仿宋_GB2312" w:cs="Times New Roman" w:hint="eastAsia"/>
          <w:color w:val="000000" w:themeColor="text1"/>
          <w:sz w:val="32"/>
          <w:szCs w:val="32"/>
        </w:rPr>
        <w:t>；</w:t>
      </w:r>
      <w:r>
        <w:rPr>
          <w:rFonts w:eastAsia="仿宋_GB2312" w:cs="Times New Roman" w:hint="eastAsia"/>
          <w:color w:val="000000" w:themeColor="text1"/>
          <w:sz w:val="32"/>
          <w:szCs w:val="32"/>
        </w:rPr>
        <w:t>对项目的碳排放核算边界及范围进行了明确，并给出了碳排放核算方法、计算公式等</w:t>
      </w:r>
      <w:r w:rsidR="006002B3">
        <w:rPr>
          <w:rFonts w:eastAsia="仿宋_GB2312" w:cs="Times New Roman" w:hint="eastAsia"/>
          <w:color w:val="000000" w:themeColor="text1"/>
          <w:sz w:val="32"/>
          <w:szCs w:val="32"/>
        </w:rPr>
        <w:t>；</w:t>
      </w:r>
      <w:r>
        <w:rPr>
          <w:rFonts w:eastAsia="仿宋_GB2312" w:cs="Times New Roman" w:hint="eastAsia"/>
          <w:color w:val="000000" w:themeColor="text1"/>
          <w:sz w:val="32"/>
          <w:szCs w:val="32"/>
        </w:rPr>
        <w:t>对评价申请与资料提供、评价方式、第三方评价机构、第三方评价原则及流程进行了要求</w:t>
      </w:r>
      <w:r w:rsidR="006002B3">
        <w:rPr>
          <w:rFonts w:eastAsia="仿宋_GB2312" w:cs="Times New Roman" w:hint="eastAsia"/>
          <w:color w:val="000000" w:themeColor="text1"/>
          <w:sz w:val="32"/>
          <w:szCs w:val="32"/>
        </w:rPr>
        <w:t>，是评价部分的核心章节</w:t>
      </w:r>
      <w:r>
        <w:rPr>
          <w:rFonts w:eastAsia="仿宋_GB2312" w:cs="Times New Roman" w:hint="eastAsia"/>
          <w:color w:val="000000" w:themeColor="text1"/>
          <w:sz w:val="32"/>
          <w:szCs w:val="32"/>
        </w:rPr>
        <w:t>。</w:t>
      </w:r>
    </w:p>
    <w:p w14:paraId="4A1486D5" w14:textId="77777777" w:rsidR="00DB642A" w:rsidRDefault="00000000">
      <w:pPr>
        <w:spacing w:line="560" w:lineRule="exact"/>
        <w:ind w:firstLineChars="200" w:firstLine="640"/>
      </w:pPr>
      <w:r>
        <w:rPr>
          <w:rFonts w:eastAsia="仿宋_GB2312" w:cs="Times New Roman" w:hint="eastAsia"/>
          <w:color w:val="000000" w:themeColor="text1"/>
          <w:sz w:val="32"/>
          <w:szCs w:val="32"/>
        </w:rPr>
        <w:t>附录对相关指标进行了明确，主要以广东省已经发布的相关指标为准</w:t>
      </w:r>
      <w:r w:rsidR="00A41524">
        <w:rPr>
          <w:rFonts w:eastAsia="仿宋_GB2312" w:cs="Times New Roman" w:hint="eastAsia"/>
          <w:color w:val="000000" w:themeColor="text1"/>
          <w:sz w:val="32"/>
          <w:szCs w:val="32"/>
        </w:rPr>
        <w:t>，同时给出了第三方核算报告的框架</w:t>
      </w:r>
      <w:r>
        <w:rPr>
          <w:rFonts w:eastAsia="仿宋_GB2312" w:cs="Times New Roman" w:hint="eastAsia"/>
          <w:color w:val="000000" w:themeColor="text1"/>
          <w:sz w:val="32"/>
          <w:szCs w:val="32"/>
        </w:rPr>
        <w:t>。</w:t>
      </w:r>
    </w:p>
    <w:p w14:paraId="10857C10" w14:textId="77777777" w:rsidR="00DB642A" w:rsidRDefault="00000000">
      <w:pPr>
        <w:pStyle w:val="1"/>
        <w:spacing w:before="0" w:after="0" w:line="560" w:lineRule="exact"/>
        <w:ind w:firstLineChars="200" w:firstLine="640"/>
        <w:jc w:val="left"/>
        <w:rPr>
          <w:rFonts w:eastAsia="黑体" w:cs="Times New Roman"/>
          <w:b w:val="0"/>
          <w:bCs w:val="0"/>
          <w:color w:val="000000" w:themeColor="text1"/>
          <w:sz w:val="32"/>
          <w:szCs w:val="32"/>
        </w:rPr>
      </w:pPr>
      <w:bookmarkStart w:id="13" w:name="_Toc184821102"/>
      <w:r>
        <w:rPr>
          <w:rFonts w:eastAsia="黑体" w:cs="Times New Roman" w:hint="eastAsia"/>
          <w:b w:val="0"/>
          <w:bCs w:val="0"/>
          <w:color w:val="000000" w:themeColor="text1"/>
          <w:sz w:val="32"/>
          <w:szCs w:val="32"/>
        </w:rPr>
        <w:t>五、与现行同类标准技术内容对比情况</w:t>
      </w:r>
      <w:bookmarkEnd w:id="13"/>
    </w:p>
    <w:p w14:paraId="6BF52DC1"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color w:val="000000" w:themeColor="text1"/>
          <w:sz w:val="32"/>
          <w:szCs w:val="32"/>
        </w:rPr>
        <w:t>目前，我国对高速公路</w:t>
      </w:r>
      <w:proofErr w:type="gramStart"/>
      <w:r>
        <w:rPr>
          <w:rFonts w:eastAsia="仿宋_GB2312" w:cs="Times New Roman"/>
          <w:color w:val="000000" w:themeColor="text1"/>
          <w:sz w:val="32"/>
          <w:szCs w:val="32"/>
        </w:rPr>
        <w:t>近零碳服务区</w:t>
      </w:r>
      <w:proofErr w:type="gramEnd"/>
      <w:r>
        <w:rPr>
          <w:rFonts w:eastAsia="仿宋_GB2312" w:cs="Times New Roman"/>
          <w:color w:val="000000" w:themeColor="text1"/>
          <w:sz w:val="32"/>
          <w:szCs w:val="32"/>
        </w:rPr>
        <w:t>的研究正处于起步</w:t>
      </w:r>
      <w:r>
        <w:rPr>
          <w:rFonts w:eastAsia="仿宋_GB2312" w:cs="Times New Roman"/>
          <w:color w:val="000000" w:themeColor="text1"/>
          <w:sz w:val="32"/>
          <w:szCs w:val="32"/>
        </w:rPr>
        <w:lastRenderedPageBreak/>
        <w:t>阶段，相关的标准和规范较少，对已出台</w:t>
      </w:r>
      <w:r w:rsidR="00E27CA2">
        <w:rPr>
          <w:rFonts w:eastAsia="仿宋_GB2312" w:cs="Times New Roman" w:hint="eastAsia"/>
          <w:color w:val="000000" w:themeColor="text1"/>
          <w:sz w:val="32"/>
          <w:szCs w:val="32"/>
        </w:rPr>
        <w:t>或可获得</w:t>
      </w:r>
      <w:r>
        <w:rPr>
          <w:rFonts w:eastAsia="仿宋_GB2312" w:cs="Times New Roman"/>
          <w:color w:val="000000" w:themeColor="text1"/>
          <w:sz w:val="32"/>
          <w:szCs w:val="32"/>
        </w:rPr>
        <w:t>的相关规范进行梳理如下</w:t>
      </w:r>
      <w:r>
        <w:rPr>
          <w:rFonts w:eastAsia="仿宋_GB2312" w:cs="Times New Roman"/>
          <w:color w:val="000000" w:themeColor="text1"/>
          <w:sz w:val="32"/>
          <w:szCs w:val="32"/>
        </w:rPr>
        <w:t xml:space="preserve">: </w:t>
      </w:r>
    </w:p>
    <w:p w14:paraId="37E92AF1" w14:textId="77777777" w:rsidR="00B26CE5" w:rsidRPr="00B26CE5" w:rsidRDefault="00B26CE5" w:rsidP="00B26CE5">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中华人民共和国交通运输行业标准《近零碳交通设施建设技术要求第</w:t>
      </w:r>
      <w:r>
        <w:rPr>
          <w:rFonts w:eastAsia="仿宋_GB2312" w:cs="Times New Roman" w:hint="eastAsia"/>
          <w:color w:val="000000" w:themeColor="text1"/>
          <w:sz w:val="32"/>
          <w:szCs w:val="32"/>
        </w:rPr>
        <w:t>2</w:t>
      </w:r>
      <w:r>
        <w:rPr>
          <w:rFonts w:eastAsia="仿宋_GB2312" w:cs="Times New Roman" w:hint="eastAsia"/>
          <w:color w:val="000000" w:themeColor="text1"/>
          <w:sz w:val="32"/>
          <w:szCs w:val="32"/>
        </w:rPr>
        <w:t>部分</w:t>
      </w:r>
      <w:r>
        <w:rPr>
          <w:rFonts w:eastAsia="仿宋_GB2312" w:cs="Times New Roman" w:hint="eastAsia"/>
          <w:color w:val="000000" w:themeColor="text1"/>
          <w:sz w:val="32"/>
          <w:szCs w:val="32"/>
        </w:rPr>
        <w:t>:</w:t>
      </w:r>
      <w:r>
        <w:rPr>
          <w:rFonts w:eastAsia="仿宋_GB2312" w:cs="Times New Roman" w:hint="eastAsia"/>
          <w:color w:val="000000" w:themeColor="text1"/>
          <w:sz w:val="32"/>
          <w:szCs w:val="32"/>
        </w:rPr>
        <w:t>高速公路服务区》（征求意见稿）与本文件的区别与联系：</w:t>
      </w:r>
      <w:proofErr w:type="gramStart"/>
      <w:r>
        <w:rPr>
          <w:rFonts w:eastAsia="仿宋_GB2312" w:cs="Times New Roman" w:hint="eastAsia"/>
          <w:color w:val="000000" w:themeColor="text1"/>
          <w:sz w:val="32"/>
          <w:szCs w:val="32"/>
        </w:rPr>
        <w:t>行标送</w:t>
      </w:r>
      <w:proofErr w:type="gramEnd"/>
      <w:r>
        <w:rPr>
          <w:rFonts w:eastAsia="仿宋_GB2312" w:cs="Times New Roman" w:hint="eastAsia"/>
          <w:color w:val="000000" w:themeColor="text1"/>
          <w:sz w:val="32"/>
          <w:szCs w:val="32"/>
        </w:rPr>
        <w:t>审稿以指向性为主，不进行评级、挂牌、核算等工作要求，更适用于方向性指引，各省宜根据本省情况自行设置挂牌和评价体系。广东指南充分贯彻“减排路径、设施设备”等章节要求，并结合广东省实际情况对指标进行一定程度的精细化要求。</w:t>
      </w:r>
    </w:p>
    <w:p w14:paraId="072133B3" w14:textId="77777777" w:rsidR="00DB642A" w:rsidRDefault="00B26CE5">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中华人民共和国交通运输行业标准</w:t>
      </w:r>
      <w:r>
        <w:rPr>
          <w:rFonts w:eastAsia="仿宋_GB2312" w:cs="Times New Roman"/>
          <w:color w:val="000000" w:themeColor="text1"/>
          <w:sz w:val="32"/>
          <w:szCs w:val="32"/>
        </w:rPr>
        <w:t>《绿色交通设施评估技术要求</w:t>
      </w:r>
      <w:r>
        <w:rPr>
          <w:rFonts w:eastAsia="仿宋_GB2312" w:cs="Times New Roman"/>
          <w:color w:val="000000" w:themeColor="text1"/>
          <w:sz w:val="32"/>
          <w:szCs w:val="32"/>
        </w:rPr>
        <w:t xml:space="preserve"> </w:t>
      </w:r>
      <w:r>
        <w:rPr>
          <w:rFonts w:eastAsia="仿宋_GB2312" w:cs="Times New Roman"/>
          <w:color w:val="000000" w:themeColor="text1"/>
          <w:sz w:val="32"/>
          <w:szCs w:val="32"/>
        </w:rPr>
        <w:t>第</w:t>
      </w:r>
      <w:r>
        <w:rPr>
          <w:rFonts w:eastAsia="仿宋_GB2312" w:cs="Times New Roman"/>
          <w:color w:val="000000" w:themeColor="text1"/>
          <w:sz w:val="32"/>
          <w:szCs w:val="32"/>
        </w:rPr>
        <w:t>2</w:t>
      </w:r>
      <w:r>
        <w:rPr>
          <w:rFonts w:eastAsia="仿宋_GB2312" w:cs="Times New Roman"/>
          <w:color w:val="000000" w:themeColor="text1"/>
          <w:sz w:val="32"/>
          <w:szCs w:val="32"/>
        </w:rPr>
        <w:t>部分</w:t>
      </w:r>
      <w:r>
        <w:rPr>
          <w:rFonts w:eastAsia="仿宋_GB2312" w:cs="Times New Roman"/>
          <w:color w:val="000000" w:themeColor="text1"/>
          <w:sz w:val="32"/>
          <w:szCs w:val="32"/>
        </w:rPr>
        <w:t>:</w:t>
      </w:r>
      <w:r>
        <w:rPr>
          <w:rFonts w:eastAsia="仿宋_GB2312" w:cs="Times New Roman"/>
          <w:color w:val="000000" w:themeColor="text1"/>
          <w:sz w:val="32"/>
          <w:szCs w:val="32"/>
        </w:rPr>
        <w:t>绿色服务区》中，从节地与室外环境、节能与能源利用等</w:t>
      </w:r>
      <w:r>
        <w:rPr>
          <w:rFonts w:eastAsia="仿宋_GB2312" w:cs="Times New Roman"/>
          <w:color w:val="000000" w:themeColor="text1"/>
          <w:sz w:val="32"/>
          <w:szCs w:val="32"/>
        </w:rPr>
        <w:t>7</w:t>
      </w:r>
      <w:r>
        <w:rPr>
          <w:rFonts w:eastAsia="仿宋_GB2312" w:cs="Times New Roman"/>
          <w:color w:val="000000" w:themeColor="text1"/>
          <w:sz w:val="32"/>
          <w:szCs w:val="32"/>
        </w:rPr>
        <w:t>个方面对服务区开展绿色评价，在这些指标下设置多个二级指标和三级指标，并对评分规则进行详细说明，便于使用者开展评估和计算分数</w:t>
      </w:r>
      <w:r>
        <w:rPr>
          <w:rFonts w:eastAsia="仿宋_GB2312" w:cs="Times New Roman" w:hint="eastAsia"/>
          <w:color w:val="000000" w:themeColor="text1"/>
          <w:sz w:val="32"/>
          <w:szCs w:val="32"/>
        </w:rPr>
        <w:t>，但绿色交通范畴的评估尚不能够与碳排放挂钩，不能全面采用绿色交通设施的建设要求</w:t>
      </w:r>
      <w:proofErr w:type="gramStart"/>
      <w:r>
        <w:rPr>
          <w:rFonts w:eastAsia="仿宋_GB2312" w:cs="Times New Roman" w:hint="eastAsia"/>
          <w:color w:val="000000" w:themeColor="text1"/>
          <w:sz w:val="32"/>
          <w:szCs w:val="32"/>
        </w:rPr>
        <w:t>进行零碳交通设施</w:t>
      </w:r>
      <w:proofErr w:type="gramEnd"/>
      <w:r>
        <w:rPr>
          <w:rFonts w:eastAsia="仿宋_GB2312" w:cs="Times New Roman" w:hint="eastAsia"/>
          <w:color w:val="000000" w:themeColor="text1"/>
          <w:sz w:val="32"/>
          <w:szCs w:val="32"/>
        </w:rPr>
        <w:t>建设</w:t>
      </w:r>
      <w:r>
        <w:rPr>
          <w:rFonts w:eastAsia="仿宋_GB2312" w:cs="Times New Roman"/>
          <w:color w:val="000000" w:themeColor="text1"/>
          <w:sz w:val="32"/>
          <w:szCs w:val="32"/>
        </w:rPr>
        <w:t>。</w:t>
      </w:r>
    </w:p>
    <w:p w14:paraId="1FC90CD5"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color w:val="000000" w:themeColor="text1"/>
          <w:sz w:val="32"/>
          <w:szCs w:val="32"/>
        </w:rPr>
        <w:t>《高速公路零碳服务区评价技术规范》</w:t>
      </w:r>
      <w:r>
        <w:rPr>
          <w:rFonts w:eastAsia="仿宋_GB2312" w:cs="Times New Roman"/>
          <w:color w:val="000000" w:themeColor="text1"/>
          <w:sz w:val="32"/>
          <w:szCs w:val="32"/>
        </w:rPr>
        <w:t>(T/CCTAS 36-2022)</w:t>
      </w:r>
      <w:r>
        <w:rPr>
          <w:rFonts w:eastAsia="仿宋_GB2312" w:cs="Times New Roman"/>
          <w:color w:val="000000" w:themeColor="text1"/>
          <w:sz w:val="32"/>
          <w:szCs w:val="32"/>
        </w:rPr>
        <w:t>是一部针对</w:t>
      </w:r>
      <w:proofErr w:type="gramStart"/>
      <w:r>
        <w:rPr>
          <w:rFonts w:eastAsia="仿宋_GB2312" w:cs="Times New Roman"/>
          <w:color w:val="000000" w:themeColor="text1"/>
          <w:sz w:val="32"/>
          <w:szCs w:val="32"/>
        </w:rPr>
        <w:t>高速公路零碳服务区</w:t>
      </w:r>
      <w:proofErr w:type="gramEnd"/>
      <w:r>
        <w:rPr>
          <w:rFonts w:eastAsia="仿宋_GB2312" w:cs="Times New Roman"/>
          <w:color w:val="000000" w:themeColor="text1"/>
          <w:sz w:val="32"/>
          <w:szCs w:val="32"/>
        </w:rPr>
        <w:t>的评价技术规范，该规范按</w:t>
      </w:r>
      <w:proofErr w:type="gramStart"/>
      <w:r>
        <w:rPr>
          <w:rFonts w:eastAsia="仿宋_GB2312" w:cs="Times New Roman"/>
          <w:color w:val="000000" w:themeColor="text1"/>
          <w:sz w:val="32"/>
          <w:szCs w:val="32"/>
        </w:rPr>
        <w:t>减碳率对零碳</w:t>
      </w:r>
      <w:proofErr w:type="gramEnd"/>
      <w:r>
        <w:rPr>
          <w:rFonts w:eastAsia="仿宋_GB2312" w:cs="Times New Roman"/>
          <w:color w:val="000000" w:themeColor="text1"/>
          <w:sz w:val="32"/>
          <w:szCs w:val="32"/>
        </w:rPr>
        <w:t>服务区等级进行划分，</w:t>
      </w:r>
      <w:proofErr w:type="gramStart"/>
      <w:r>
        <w:rPr>
          <w:rFonts w:eastAsia="仿宋_GB2312" w:cs="Times New Roman"/>
          <w:color w:val="000000" w:themeColor="text1"/>
          <w:sz w:val="32"/>
          <w:szCs w:val="32"/>
        </w:rPr>
        <w:t>要求零碳服务区</w:t>
      </w:r>
      <w:proofErr w:type="gramEnd"/>
      <w:r>
        <w:rPr>
          <w:rFonts w:eastAsia="仿宋_GB2312" w:cs="Times New Roman"/>
          <w:color w:val="000000" w:themeColor="text1"/>
          <w:sz w:val="32"/>
          <w:szCs w:val="32"/>
        </w:rPr>
        <w:t>必须满足全部控制指标的要求，控制指标包括建筑、化石能源使用、可再生能源技术等内容</w:t>
      </w:r>
      <w:r>
        <w:rPr>
          <w:rFonts w:eastAsia="仿宋_GB2312" w:cs="Times New Roman" w:hint="eastAsia"/>
          <w:color w:val="000000" w:themeColor="text1"/>
          <w:sz w:val="32"/>
          <w:szCs w:val="32"/>
        </w:rPr>
        <w:t>。与本文件的区别</w:t>
      </w:r>
      <w:r w:rsidR="008C0437">
        <w:rPr>
          <w:rFonts w:eastAsia="仿宋_GB2312" w:cs="Times New Roman" w:hint="eastAsia"/>
          <w:color w:val="000000" w:themeColor="text1"/>
          <w:sz w:val="32"/>
          <w:szCs w:val="32"/>
        </w:rPr>
        <w:t>与联系</w:t>
      </w:r>
      <w:r>
        <w:rPr>
          <w:rFonts w:eastAsia="仿宋_GB2312" w:cs="Times New Roman" w:hint="eastAsia"/>
          <w:color w:val="000000" w:themeColor="text1"/>
          <w:sz w:val="32"/>
          <w:szCs w:val="32"/>
        </w:rPr>
        <w:t>：</w:t>
      </w:r>
      <w:r w:rsidR="00154BF3">
        <w:rPr>
          <w:rFonts w:eastAsia="仿宋_GB2312" w:cs="Times New Roman" w:hint="eastAsia"/>
          <w:color w:val="000000" w:themeColor="text1"/>
          <w:sz w:val="32"/>
          <w:szCs w:val="32"/>
        </w:rPr>
        <w:t>本文件</w:t>
      </w:r>
      <w:r>
        <w:rPr>
          <w:rFonts w:eastAsia="仿宋_GB2312" w:cs="Times New Roman" w:hint="eastAsia"/>
          <w:color w:val="000000" w:themeColor="text1"/>
          <w:sz w:val="32"/>
          <w:szCs w:val="32"/>
        </w:rPr>
        <w:t>更注重分专业提供实施方向，明确不同专业的控制技术指标；</w:t>
      </w:r>
      <w:r w:rsidR="00154BF3">
        <w:rPr>
          <w:rFonts w:eastAsia="仿宋_GB2312" w:cs="Times New Roman" w:hint="eastAsia"/>
          <w:color w:val="000000" w:themeColor="text1"/>
          <w:sz w:val="32"/>
          <w:szCs w:val="32"/>
        </w:rPr>
        <w:t>本文件</w:t>
      </w:r>
      <w:r>
        <w:rPr>
          <w:rFonts w:eastAsia="仿宋_GB2312" w:cs="Times New Roman" w:hint="eastAsia"/>
          <w:color w:val="000000" w:themeColor="text1"/>
          <w:sz w:val="32"/>
          <w:szCs w:val="32"/>
        </w:rPr>
        <w:t>补全碳汇、制冷剂等我省已披露的数据因子，便于</w:t>
      </w:r>
      <w:proofErr w:type="gramStart"/>
      <w:r>
        <w:rPr>
          <w:rFonts w:eastAsia="仿宋_GB2312" w:cs="Times New Roman" w:hint="eastAsia"/>
          <w:color w:val="000000" w:themeColor="text1"/>
          <w:sz w:val="32"/>
          <w:szCs w:val="32"/>
        </w:rPr>
        <w:t>计算碳减排</w:t>
      </w:r>
      <w:proofErr w:type="gramEnd"/>
      <w:r>
        <w:rPr>
          <w:rFonts w:eastAsia="仿宋_GB2312" w:cs="Times New Roman" w:hint="eastAsia"/>
          <w:color w:val="000000" w:themeColor="text1"/>
          <w:sz w:val="32"/>
          <w:szCs w:val="32"/>
        </w:rPr>
        <w:t>。</w:t>
      </w:r>
      <w:r w:rsidR="008C0437">
        <w:rPr>
          <w:rFonts w:eastAsia="仿宋_GB2312" w:cs="Times New Roman" w:hint="eastAsia"/>
          <w:color w:val="000000" w:themeColor="text1"/>
          <w:sz w:val="32"/>
          <w:szCs w:val="32"/>
        </w:rPr>
        <w:t>本文件</w:t>
      </w:r>
      <w:r>
        <w:rPr>
          <w:rFonts w:eastAsia="仿宋_GB2312" w:cs="Times New Roman" w:hint="eastAsia"/>
          <w:color w:val="000000" w:themeColor="text1"/>
          <w:sz w:val="32"/>
          <w:szCs w:val="32"/>
        </w:rPr>
        <w:t>充分借鉴该团标“第三方评价”章</w:t>
      </w:r>
      <w:r>
        <w:rPr>
          <w:rFonts w:eastAsia="仿宋_GB2312" w:cs="Times New Roman" w:hint="eastAsia"/>
          <w:color w:val="000000" w:themeColor="text1"/>
          <w:sz w:val="32"/>
          <w:szCs w:val="32"/>
        </w:rPr>
        <w:lastRenderedPageBreak/>
        <w:t>节</w:t>
      </w:r>
      <w:r w:rsidR="001739F8">
        <w:rPr>
          <w:rFonts w:eastAsia="仿宋_GB2312" w:cs="Times New Roman" w:hint="eastAsia"/>
          <w:color w:val="000000" w:themeColor="text1"/>
          <w:sz w:val="32"/>
          <w:szCs w:val="32"/>
        </w:rPr>
        <w:t>并在其</w:t>
      </w:r>
      <w:r>
        <w:rPr>
          <w:rFonts w:eastAsia="仿宋_GB2312" w:cs="Times New Roman" w:hint="eastAsia"/>
          <w:color w:val="000000" w:themeColor="text1"/>
          <w:sz w:val="32"/>
          <w:szCs w:val="32"/>
        </w:rPr>
        <w:t>基础上进行梳理和细化，提高了实操度。</w:t>
      </w:r>
    </w:p>
    <w:p w14:paraId="7EFE00B2"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color w:val="000000" w:themeColor="text1"/>
          <w:sz w:val="32"/>
          <w:szCs w:val="32"/>
        </w:rPr>
        <w:t>《高等级公路近零碳服务区设计与施工技术规程》</w:t>
      </w:r>
      <w:r>
        <w:rPr>
          <w:rFonts w:eastAsia="仿宋_GB2312" w:cs="Times New Roman"/>
          <w:color w:val="000000" w:themeColor="text1"/>
          <w:sz w:val="32"/>
          <w:szCs w:val="32"/>
        </w:rPr>
        <w:t>(DB15/T 2878-2023)</w:t>
      </w:r>
      <w:r>
        <w:rPr>
          <w:rFonts w:eastAsia="仿宋_GB2312" w:cs="Times New Roman"/>
          <w:color w:val="000000" w:themeColor="text1"/>
          <w:sz w:val="32"/>
          <w:szCs w:val="32"/>
        </w:rPr>
        <w:t>是针对内蒙古自治区</w:t>
      </w:r>
      <w:proofErr w:type="gramStart"/>
      <w:r>
        <w:rPr>
          <w:rFonts w:eastAsia="仿宋_GB2312" w:cs="Times New Roman"/>
          <w:color w:val="000000" w:themeColor="text1"/>
          <w:sz w:val="32"/>
          <w:szCs w:val="32"/>
        </w:rPr>
        <w:t>近零碳服务区</w:t>
      </w:r>
      <w:proofErr w:type="gramEnd"/>
      <w:r>
        <w:rPr>
          <w:rFonts w:eastAsia="仿宋_GB2312" w:cs="Times New Roman"/>
          <w:color w:val="000000" w:themeColor="text1"/>
          <w:sz w:val="32"/>
          <w:szCs w:val="32"/>
        </w:rPr>
        <w:t>设计与施工技术的要求，</w:t>
      </w:r>
      <w:proofErr w:type="gramStart"/>
      <w:r>
        <w:rPr>
          <w:rFonts w:eastAsia="仿宋_GB2312" w:cs="Times New Roman" w:hint="eastAsia"/>
          <w:color w:val="000000" w:themeColor="text1"/>
          <w:sz w:val="32"/>
          <w:szCs w:val="32"/>
        </w:rPr>
        <w:t>此地方</w:t>
      </w:r>
      <w:proofErr w:type="gramEnd"/>
      <w:r>
        <w:rPr>
          <w:rFonts w:eastAsia="仿宋_GB2312" w:cs="Times New Roman" w:hint="eastAsia"/>
          <w:color w:val="000000" w:themeColor="text1"/>
          <w:sz w:val="32"/>
          <w:szCs w:val="32"/>
        </w:rPr>
        <w:t>标准与</w:t>
      </w:r>
      <w:r>
        <w:rPr>
          <w:rFonts w:eastAsia="仿宋_GB2312" w:cs="Times New Roman" w:hint="eastAsia"/>
          <w:color w:val="000000" w:themeColor="text1"/>
          <w:sz w:val="32"/>
          <w:szCs w:val="32"/>
        </w:rPr>
        <w:t>2022</w:t>
      </w:r>
      <w:r>
        <w:rPr>
          <w:rFonts w:eastAsia="仿宋_GB2312" w:cs="Times New Roman" w:hint="eastAsia"/>
          <w:color w:val="000000" w:themeColor="text1"/>
          <w:sz w:val="32"/>
          <w:szCs w:val="32"/>
        </w:rPr>
        <w:t>年团体标准</w:t>
      </w:r>
      <w:r>
        <w:rPr>
          <w:rFonts w:eastAsia="仿宋_GB2312" w:cs="Times New Roman"/>
          <w:color w:val="000000" w:themeColor="text1"/>
          <w:sz w:val="32"/>
          <w:szCs w:val="32"/>
        </w:rPr>
        <w:t>《高速公路零碳服务区评价技术规范》</w:t>
      </w:r>
      <w:r>
        <w:rPr>
          <w:rFonts w:eastAsia="仿宋_GB2312" w:cs="Times New Roman" w:hint="eastAsia"/>
          <w:color w:val="000000" w:themeColor="text1"/>
          <w:sz w:val="32"/>
          <w:szCs w:val="32"/>
        </w:rPr>
        <w:t>（</w:t>
      </w:r>
      <w:r>
        <w:rPr>
          <w:rFonts w:eastAsia="仿宋_GB2312" w:cs="Times New Roman"/>
          <w:color w:val="000000" w:themeColor="text1"/>
          <w:sz w:val="32"/>
          <w:szCs w:val="32"/>
        </w:rPr>
        <w:t>T/CCTAS 36-2022</w:t>
      </w:r>
      <w:r>
        <w:rPr>
          <w:rFonts w:eastAsia="仿宋_GB2312" w:cs="Times New Roman" w:hint="eastAsia"/>
          <w:color w:val="000000" w:themeColor="text1"/>
          <w:sz w:val="32"/>
          <w:szCs w:val="32"/>
        </w:rPr>
        <w:t>）的内容基本一致。</w:t>
      </w:r>
    </w:p>
    <w:p w14:paraId="716DAB24"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《近零碳高速公路服务区建设指南》为待发布的河南省地方标准，与本文件区别与联系：河南地方标准整体结构上缺乏明确的核算方法和分级标准，广东指南在编写过程中借鉴较少，联系不大。</w:t>
      </w:r>
    </w:p>
    <w:p w14:paraId="174B754C"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高速公路服务区低碳建设及运营评价指南》是浙江省交通运输厅发布的技术指导性文件，与本文件的区别与联系：广东指南采用分级而非浙江指南的打分方式，旨在将指标落实到文件避免主观因素，广东指南部分借鉴“建筑设计”指标章节，并结合广东省实际情况进行要求。</w:t>
      </w:r>
    </w:p>
    <w:p w14:paraId="44DFA9C5" w14:textId="77777777" w:rsidR="00DB642A" w:rsidRDefault="001D75AE">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综上所述，</w:t>
      </w:r>
      <w:r>
        <w:rPr>
          <w:rFonts w:eastAsia="仿宋_GB2312" w:cs="Times New Roman"/>
          <w:color w:val="000000" w:themeColor="text1"/>
          <w:sz w:val="32"/>
          <w:szCs w:val="32"/>
        </w:rPr>
        <w:t>以上国内相关规范尚不足</w:t>
      </w:r>
      <w:r>
        <w:rPr>
          <w:rFonts w:eastAsia="仿宋_GB2312" w:cs="Times New Roman" w:hint="eastAsia"/>
          <w:color w:val="000000" w:themeColor="text1"/>
          <w:sz w:val="32"/>
          <w:szCs w:val="32"/>
        </w:rPr>
        <w:t>以</w:t>
      </w:r>
      <w:proofErr w:type="gramStart"/>
      <w:r>
        <w:rPr>
          <w:rFonts w:eastAsia="仿宋_GB2312" w:cs="Times New Roman" w:hint="eastAsia"/>
          <w:color w:val="000000" w:themeColor="text1"/>
          <w:sz w:val="32"/>
          <w:szCs w:val="32"/>
        </w:rPr>
        <w:t>完全</w:t>
      </w:r>
      <w:r>
        <w:rPr>
          <w:rFonts w:eastAsia="仿宋_GB2312" w:cs="Times New Roman"/>
          <w:color w:val="000000" w:themeColor="text1"/>
          <w:sz w:val="32"/>
          <w:szCs w:val="32"/>
        </w:rPr>
        <w:t>指导</w:t>
      </w:r>
      <w:proofErr w:type="gramEnd"/>
      <w:r>
        <w:rPr>
          <w:rFonts w:eastAsia="仿宋_GB2312" w:cs="Times New Roman"/>
          <w:color w:val="000000" w:themeColor="text1"/>
          <w:sz w:val="32"/>
          <w:szCs w:val="32"/>
        </w:rPr>
        <w:t>我省</w:t>
      </w:r>
      <w:proofErr w:type="gramStart"/>
      <w:r>
        <w:rPr>
          <w:rFonts w:eastAsia="仿宋_GB2312" w:cs="Times New Roman"/>
          <w:color w:val="000000" w:themeColor="text1"/>
          <w:sz w:val="32"/>
          <w:szCs w:val="32"/>
        </w:rPr>
        <w:t>近零碳服务区</w:t>
      </w:r>
      <w:proofErr w:type="gramEnd"/>
      <w:r>
        <w:rPr>
          <w:rFonts w:eastAsia="仿宋_GB2312" w:cs="Times New Roman"/>
          <w:color w:val="000000" w:themeColor="text1"/>
          <w:sz w:val="32"/>
          <w:szCs w:val="32"/>
        </w:rPr>
        <w:t>的建设。</w:t>
      </w:r>
      <w:r>
        <w:rPr>
          <w:rFonts w:eastAsia="仿宋_GB2312" w:cs="Times New Roman"/>
          <w:color w:val="000000" w:themeColor="text1"/>
          <w:sz w:val="32"/>
          <w:szCs w:val="32"/>
        </w:rPr>
        <w:t xml:space="preserve"> </w:t>
      </w:r>
    </w:p>
    <w:p w14:paraId="5380B724" w14:textId="77777777" w:rsidR="00DB642A" w:rsidRDefault="00000000">
      <w:pPr>
        <w:pStyle w:val="1"/>
        <w:numPr>
          <w:ilvl w:val="0"/>
          <w:numId w:val="7"/>
        </w:numPr>
        <w:spacing w:before="0" w:after="0" w:line="560" w:lineRule="exact"/>
        <w:ind w:firstLineChars="200" w:firstLine="640"/>
        <w:jc w:val="left"/>
        <w:rPr>
          <w:rFonts w:eastAsia="黑体" w:cs="Times New Roman"/>
          <w:b w:val="0"/>
          <w:bCs w:val="0"/>
          <w:color w:val="000000" w:themeColor="text1"/>
          <w:sz w:val="32"/>
          <w:szCs w:val="32"/>
        </w:rPr>
      </w:pPr>
      <w:bookmarkStart w:id="14" w:name="_Toc184821103"/>
      <w:r>
        <w:rPr>
          <w:rFonts w:eastAsia="黑体" w:cs="Times New Roman" w:hint="eastAsia"/>
          <w:b w:val="0"/>
          <w:bCs w:val="0"/>
          <w:color w:val="000000" w:themeColor="text1"/>
          <w:sz w:val="32"/>
          <w:szCs w:val="32"/>
        </w:rPr>
        <w:t>指导性技术文件的先进性或特色性</w:t>
      </w:r>
      <w:bookmarkEnd w:id="14"/>
    </w:p>
    <w:p w14:paraId="0BFED259"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本文件的先进性与特色性如下：</w:t>
      </w:r>
    </w:p>
    <w:p w14:paraId="49D853E2"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color w:val="000000" w:themeColor="text1"/>
          <w:sz w:val="32"/>
          <w:szCs w:val="32"/>
        </w:rPr>
        <w:t>明确建设标准与鼓励机制</w:t>
      </w:r>
      <w:r>
        <w:rPr>
          <w:rFonts w:eastAsia="仿宋_GB2312" w:cs="Times New Roman" w:hint="eastAsia"/>
          <w:color w:val="000000" w:themeColor="text1"/>
          <w:sz w:val="32"/>
          <w:szCs w:val="32"/>
        </w:rPr>
        <w:t>：省内</w:t>
      </w:r>
      <w:proofErr w:type="gramStart"/>
      <w:r>
        <w:rPr>
          <w:rFonts w:eastAsia="仿宋_GB2312" w:cs="Times New Roman" w:hint="eastAsia"/>
          <w:color w:val="000000" w:themeColor="text1"/>
          <w:sz w:val="32"/>
          <w:szCs w:val="32"/>
        </w:rPr>
        <w:t>近零碳服务区</w:t>
      </w:r>
      <w:proofErr w:type="gramEnd"/>
      <w:r>
        <w:rPr>
          <w:rFonts w:eastAsia="仿宋_GB2312" w:cs="Times New Roman" w:hint="eastAsia"/>
          <w:color w:val="000000" w:themeColor="text1"/>
          <w:sz w:val="32"/>
          <w:szCs w:val="32"/>
        </w:rPr>
        <w:t>建设如火如荼，需要建设标准和鼓励机制来指导和激励建设单位。核心内容：制定详细的</w:t>
      </w:r>
      <w:proofErr w:type="gramStart"/>
      <w:r>
        <w:rPr>
          <w:rFonts w:eastAsia="仿宋_GB2312" w:cs="Times New Roman" w:hint="eastAsia"/>
          <w:color w:val="000000" w:themeColor="text1"/>
          <w:sz w:val="32"/>
          <w:szCs w:val="32"/>
        </w:rPr>
        <w:t>近零碳服务区</w:t>
      </w:r>
      <w:proofErr w:type="gramEnd"/>
      <w:r>
        <w:rPr>
          <w:rFonts w:eastAsia="仿宋_GB2312" w:cs="Times New Roman" w:hint="eastAsia"/>
          <w:color w:val="000000" w:themeColor="text1"/>
          <w:sz w:val="32"/>
          <w:szCs w:val="32"/>
        </w:rPr>
        <w:t>级别标准确保建设质量；建立科学的计量、核算与挂牌机制，以及有效的奖励措施，以激发建设单位的积极性。</w:t>
      </w:r>
    </w:p>
    <w:p w14:paraId="0B16DDBF"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color w:val="000000" w:themeColor="text1"/>
          <w:sz w:val="32"/>
          <w:szCs w:val="32"/>
        </w:rPr>
        <w:lastRenderedPageBreak/>
        <w:t>细化减</w:t>
      </w:r>
      <w:proofErr w:type="gramStart"/>
      <w:r>
        <w:rPr>
          <w:rFonts w:eastAsia="仿宋_GB2312" w:cs="Times New Roman"/>
          <w:color w:val="000000" w:themeColor="text1"/>
          <w:sz w:val="32"/>
          <w:szCs w:val="32"/>
        </w:rPr>
        <w:t>排方向</w:t>
      </w:r>
      <w:proofErr w:type="gramEnd"/>
      <w:r>
        <w:rPr>
          <w:rFonts w:eastAsia="仿宋_GB2312" w:cs="Times New Roman"/>
          <w:color w:val="000000" w:themeColor="text1"/>
          <w:sz w:val="32"/>
          <w:szCs w:val="32"/>
        </w:rPr>
        <w:t>与能效管理路径</w:t>
      </w:r>
      <w:r>
        <w:rPr>
          <w:rFonts w:eastAsia="仿宋_GB2312" w:cs="Times New Roman" w:hint="eastAsia"/>
          <w:color w:val="000000" w:themeColor="text1"/>
          <w:sz w:val="32"/>
          <w:szCs w:val="32"/>
        </w:rPr>
        <w:t>：减排和能效提升是</w:t>
      </w:r>
      <w:proofErr w:type="gramStart"/>
      <w:r>
        <w:rPr>
          <w:rFonts w:eastAsia="仿宋_GB2312" w:cs="Times New Roman" w:hint="eastAsia"/>
          <w:color w:val="000000" w:themeColor="text1"/>
          <w:sz w:val="32"/>
          <w:szCs w:val="32"/>
        </w:rPr>
        <w:t>近零碳服务区</w:t>
      </w:r>
      <w:proofErr w:type="gramEnd"/>
      <w:r>
        <w:rPr>
          <w:rFonts w:eastAsia="仿宋_GB2312" w:cs="Times New Roman" w:hint="eastAsia"/>
          <w:color w:val="000000" w:themeColor="text1"/>
          <w:sz w:val="32"/>
          <w:szCs w:val="32"/>
        </w:rPr>
        <w:t>建设的核心目标。</w:t>
      </w:r>
      <w:proofErr w:type="gramStart"/>
      <w:r>
        <w:rPr>
          <w:rFonts w:eastAsia="仿宋_GB2312" w:cs="Times New Roman" w:hint="eastAsia"/>
          <w:color w:val="000000" w:themeColor="text1"/>
          <w:sz w:val="32"/>
          <w:szCs w:val="32"/>
        </w:rPr>
        <w:t>明确减</w:t>
      </w:r>
      <w:proofErr w:type="gramEnd"/>
      <w:r>
        <w:rPr>
          <w:rFonts w:eastAsia="仿宋_GB2312" w:cs="Times New Roman" w:hint="eastAsia"/>
          <w:color w:val="000000" w:themeColor="text1"/>
          <w:sz w:val="32"/>
          <w:szCs w:val="32"/>
        </w:rPr>
        <w:t>排的具体方向和程度，如采用新能源、优化运输结构等；同时，强化能效管理，包括采用节能设备、优化能源利用等，以实现低碳运营。</w:t>
      </w:r>
    </w:p>
    <w:p w14:paraId="0745974C"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强化碳汇管理与核算计量方法：碳汇管理和资源优化是</w:t>
      </w:r>
      <w:proofErr w:type="gramStart"/>
      <w:r>
        <w:rPr>
          <w:rFonts w:eastAsia="仿宋_GB2312" w:cs="Times New Roman" w:hint="eastAsia"/>
          <w:color w:val="000000" w:themeColor="text1"/>
          <w:sz w:val="32"/>
          <w:szCs w:val="32"/>
        </w:rPr>
        <w:t>近零碳服务区</w:t>
      </w:r>
      <w:proofErr w:type="gramEnd"/>
      <w:r>
        <w:rPr>
          <w:rFonts w:eastAsia="仿宋_GB2312" w:cs="Times New Roman" w:hint="eastAsia"/>
          <w:color w:val="000000" w:themeColor="text1"/>
          <w:sz w:val="32"/>
          <w:szCs w:val="32"/>
        </w:rPr>
        <w:t>建设的重要补充。通过建设光伏发电、储能系统等设施，实现能源替代和</w:t>
      </w:r>
      <w:proofErr w:type="gramStart"/>
      <w:r>
        <w:rPr>
          <w:rFonts w:eastAsia="仿宋_GB2312" w:cs="Times New Roman" w:hint="eastAsia"/>
          <w:color w:val="000000" w:themeColor="text1"/>
          <w:sz w:val="32"/>
          <w:szCs w:val="32"/>
        </w:rPr>
        <w:t>碳汇管</w:t>
      </w:r>
      <w:proofErr w:type="gramEnd"/>
      <w:r>
        <w:rPr>
          <w:rFonts w:eastAsia="仿宋_GB2312" w:cs="Times New Roman" w:hint="eastAsia"/>
          <w:color w:val="000000" w:themeColor="text1"/>
          <w:sz w:val="32"/>
          <w:szCs w:val="32"/>
        </w:rPr>
        <w:t>理；同时，优化高速公路路域资源配置，提高资源利用效率，推动绿色转型。</w:t>
      </w:r>
    </w:p>
    <w:p w14:paraId="13C9E6D9" w14:textId="77777777" w:rsidR="00DB642A" w:rsidRDefault="00000000">
      <w:pPr>
        <w:spacing w:line="560" w:lineRule="exact"/>
        <w:ind w:firstLineChars="200" w:firstLine="640"/>
      </w:pPr>
      <w:r>
        <w:rPr>
          <w:rFonts w:eastAsia="仿宋_GB2312" w:cs="Times New Roman" w:hint="eastAsia"/>
          <w:color w:val="000000" w:themeColor="text1"/>
          <w:sz w:val="32"/>
          <w:szCs w:val="32"/>
        </w:rPr>
        <w:t>推动绿色转型与高质量发展：</w:t>
      </w:r>
      <w:proofErr w:type="gramStart"/>
      <w:r>
        <w:rPr>
          <w:rFonts w:eastAsia="仿宋_GB2312" w:cs="Times New Roman" w:hint="eastAsia"/>
          <w:color w:val="000000" w:themeColor="text1"/>
          <w:sz w:val="32"/>
          <w:szCs w:val="32"/>
        </w:rPr>
        <w:t>近零碳服务区</w:t>
      </w:r>
      <w:proofErr w:type="gramEnd"/>
      <w:r>
        <w:rPr>
          <w:rFonts w:eastAsia="仿宋_GB2312" w:cs="Times New Roman" w:hint="eastAsia"/>
          <w:color w:val="000000" w:themeColor="text1"/>
          <w:sz w:val="32"/>
          <w:szCs w:val="32"/>
        </w:rPr>
        <w:t>建设是推动交通领域绿色转型和低碳发展的重要一环。通过</w:t>
      </w:r>
      <w:proofErr w:type="gramStart"/>
      <w:r>
        <w:rPr>
          <w:rFonts w:eastAsia="仿宋_GB2312" w:cs="Times New Roman" w:hint="eastAsia"/>
          <w:color w:val="000000" w:themeColor="text1"/>
          <w:sz w:val="32"/>
          <w:szCs w:val="32"/>
        </w:rPr>
        <w:t>近零碳服务区</w:t>
      </w:r>
      <w:proofErr w:type="gramEnd"/>
      <w:r>
        <w:rPr>
          <w:rFonts w:eastAsia="仿宋_GB2312" w:cs="Times New Roman" w:hint="eastAsia"/>
          <w:color w:val="000000" w:themeColor="text1"/>
          <w:sz w:val="32"/>
          <w:szCs w:val="32"/>
        </w:rPr>
        <w:t>的建设，带动高速公路路域资源的整体绿色转型和低碳发展，为实现碳中和目标做出贡献。</w:t>
      </w:r>
    </w:p>
    <w:p w14:paraId="43A9DB10" w14:textId="77777777" w:rsidR="00DB642A" w:rsidRDefault="00000000">
      <w:pPr>
        <w:pStyle w:val="1"/>
        <w:spacing w:before="0" w:after="0" w:line="560" w:lineRule="exact"/>
        <w:ind w:firstLineChars="200" w:firstLine="640"/>
        <w:jc w:val="left"/>
        <w:rPr>
          <w:rFonts w:eastAsia="黑体" w:cs="Times New Roman"/>
          <w:b w:val="0"/>
          <w:bCs w:val="0"/>
          <w:color w:val="000000" w:themeColor="text1"/>
          <w:sz w:val="32"/>
          <w:szCs w:val="32"/>
        </w:rPr>
      </w:pPr>
      <w:bookmarkStart w:id="15" w:name="_Toc184821104"/>
      <w:r>
        <w:rPr>
          <w:rFonts w:eastAsia="黑体" w:cs="Times New Roman" w:hint="eastAsia"/>
          <w:b w:val="0"/>
          <w:bCs w:val="0"/>
          <w:color w:val="000000" w:themeColor="text1"/>
          <w:sz w:val="32"/>
          <w:szCs w:val="32"/>
        </w:rPr>
        <w:t>七</w:t>
      </w:r>
      <w:r>
        <w:rPr>
          <w:rFonts w:eastAsia="黑体" w:cs="Times New Roman"/>
          <w:b w:val="0"/>
          <w:bCs w:val="0"/>
          <w:color w:val="000000" w:themeColor="text1"/>
          <w:sz w:val="32"/>
          <w:szCs w:val="32"/>
        </w:rPr>
        <w:t>、编制过程</w:t>
      </w:r>
      <w:bookmarkEnd w:id="15"/>
    </w:p>
    <w:p w14:paraId="6645D28C" w14:textId="77777777" w:rsidR="00DB642A" w:rsidRDefault="00000000">
      <w:pPr>
        <w:spacing w:line="560" w:lineRule="exact"/>
        <w:ind w:firstLineChars="200" w:firstLine="640"/>
        <w:rPr>
          <w:rFonts w:eastAsia="仿宋_GB2312" w:cs="Times New Roman"/>
          <w:color w:val="000000" w:themeColor="text1"/>
          <w:sz w:val="32"/>
          <w:szCs w:val="32"/>
          <w:lang w:val="zh-CN"/>
        </w:rPr>
      </w:pPr>
      <w:r>
        <w:rPr>
          <w:rFonts w:eastAsia="仿宋_GB2312" w:cs="Times New Roman"/>
          <w:color w:val="000000" w:themeColor="text1"/>
          <w:sz w:val="32"/>
          <w:szCs w:val="32"/>
          <w:lang w:val="zh-CN"/>
        </w:rPr>
        <w:t>2023</w:t>
      </w:r>
      <w:r>
        <w:rPr>
          <w:rFonts w:eastAsia="仿宋_GB2312" w:cs="Times New Roman"/>
          <w:color w:val="000000" w:themeColor="text1"/>
          <w:sz w:val="32"/>
          <w:szCs w:val="32"/>
          <w:lang w:val="zh-CN"/>
        </w:rPr>
        <w:t>年</w:t>
      </w:r>
      <w:r>
        <w:rPr>
          <w:rFonts w:eastAsia="仿宋_GB2312" w:cs="Times New Roman"/>
          <w:color w:val="000000" w:themeColor="text1"/>
          <w:sz w:val="32"/>
          <w:szCs w:val="32"/>
          <w:lang w:val="zh-CN"/>
        </w:rPr>
        <w:t>11</w:t>
      </w:r>
      <w:r>
        <w:rPr>
          <w:rFonts w:eastAsia="仿宋_GB2312" w:cs="Times New Roman"/>
          <w:color w:val="000000" w:themeColor="text1"/>
          <w:sz w:val="32"/>
          <w:szCs w:val="32"/>
          <w:lang w:val="zh-CN"/>
        </w:rPr>
        <w:t>月以前为本标准前期相关工作，具体开展的工作如下：</w:t>
      </w:r>
    </w:p>
    <w:p w14:paraId="1FAB279E"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1</w:t>
      </w:r>
      <w:r>
        <w:rPr>
          <w:rFonts w:eastAsia="仿宋_GB2312" w:cs="Times New Roman" w:hint="eastAsia"/>
          <w:color w:val="000000" w:themeColor="text1"/>
          <w:sz w:val="32"/>
          <w:szCs w:val="32"/>
        </w:rPr>
        <w:t>、调研阶段</w:t>
      </w:r>
    </w:p>
    <w:p w14:paraId="041B9B50"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2024</w:t>
      </w:r>
      <w:r>
        <w:rPr>
          <w:rFonts w:eastAsia="仿宋_GB2312" w:cs="Times New Roman" w:hint="eastAsia"/>
          <w:color w:val="000000" w:themeColor="text1"/>
          <w:sz w:val="32"/>
          <w:szCs w:val="32"/>
        </w:rPr>
        <w:t>年</w:t>
      </w:r>
      <w:r>
        <w:rPr>
          <w:rFonts w:eastAsia="仿宋_GB2312" w:cs="Times New Roman" w:hint="eastAsia"/>
          <w:color w:val="000000" w:themeColor="text1"/>
          <w:sz w:val="32"/>
          <w:szCs w:val="32"/>
        </w:rPr>
        <w:t>4</w:t>
      </w:r>
      <w:r>
        <w:rPr>
          <w:rFonts w:eastAsia="仿宋_GB2312" w:cs="Times New Roman" w:hint="eastAsia"/>
          <w:color w:val="000000" w:themeColor="text1"/>
          <w:sz w:val="32"/>
          <w:szCs w:val="32"/>
        </w:rPr>
        <w:t>月，编制工作组正式启动广东省高速公路</w:t>
      </w:r>
      <w:proofErr w:type="gramStart"/>
      <w:r>
        <w:rPr>
          <w:rFonts w:eastAsia="仿宋_GB2312" w:cs="Times New Roman" w:hint="eastAsia"/>
          <w:color w:val="000000" w:themeColor="text1"/>
          <w:sz w:val="32"/>
          <w:szCs w:val="32"/>
        </w:rPr>
        <w:t>近零碳服务区</w:t>
      </w:r>
      <w:proofErr w:type="gramEnd"/>
      <w:r>
        <w:rPr>
          <w:rFonts w:eastAsia="仿宋_GB2312" w:cs="Times New Roman" w:hint="eastAsia"/>
          <w:color w:val="000000" w:themeColor="text1"/>
          <w:sz w:val="32"/>
          <w:szCs w:val="32"/>
        </w:rPr>
        <w:t>建设指南编制前期</w:t>
      </w:r>
      <w:r w:rsidR="00367341">
        <w:rPr>
          <w:rFonts w:eastAsia="仿宋_GB2312" w:cs="Times New Roman" w:hint="eastAsia"/>
          <w:color w:val="000000" w:themeColor="text1"/>
          <w:sz w:val="32"/>
          <w:szCs w:val="32"/>
        </w:rPr>
        <w:t>准备</w:t>
      </w:r>
      <w:r>
        <w:rPr>
          <w:rFonts w:eastAsia="仿宋_GB2312" w:cs="Times New Roman" w:hint="eastAsia"/>
          <w:color w:val="000000" w:themeColor="text1"/>
          <w:sz w:val="32"/>
          <w:szCs w:val="32"/>
        </w:rPr>
        <w:t>工作。为确保指南更具指导性、适用性、可操作性，更好推动智慧公路建设高质量发展，编制单位组织赴广东中开</w:t>
      </w:r>
      <w:proofErr w:type="gramStart"/>
      <w:r>
        <w:rPr>
          <w:rFonts w:eastAsia="仿宋_GB2312" w:cs="Times New Roman" w:hint="eastAsia"/>
          <w:color w:val="000000" w:themeColor="text1"/>
          <w:sz w:val="32"/>
          <w:szCs w:val="32"/>
        </w:rPr>
        <w:t>高速零碳智慧</w:t>
      </w:r>
      <w:proofErr w:type="gramEnd"/>
      <w:r>
        <w:rPr>
          <w:rFonts w:eastAsia="仿宋_GB2312" w:cs="Times New Roman" w:hint="eastAsia"/>
          <w:color w:val="000000" w:themeColor="text1"/>
          <w:sz w:val="32"/>
          <w:szCs w:val="32"/>
        </w:rPr>
        <w:t>服务区试点项目、山东枣</w:t>
      </w:r>
      <w:proofErr w:type="gramStart"/>
      <w:r>
        <w:rPr>
          <w:rFonts w:eastAsia="仿宋_GB2312" w:cs="Times New Roman" w:hint="eastAsia"/>
          <w:color w:val="000000" w:themeColor="text1"/>
          <w:sz w:val="32"/>
          <w:szCs w:val="32"/>
        </w:rPr>
        <w:t>菏</w:t>
      </w:r>
      <w:proofErr w:type="gramEnd"/>
      <w:r>
        <w:rPr>
          <w:rFonts w:eastAsia="仿宋_GB2312" w:cs="Times New Roman" w:hint="eastAsia"/>
          <w:color w:val="000000" w:themeColor="text1"/>
          <w:sz w:val="32"/>
          <w:szCs w:val="32"/>
        </w:rPr>
        <w:t>高速交能融合示范工程</w:t>
      </w:r>
      <w:proofErr w:type="gramStart"/>
      <w:r>
        <w:rPr>
          <w:rFonts w:eastAsia="仿宋_GB2312" w:cs="Times New Roman" w:hint="eastAsia"/>
          <w:color w:val="000000" w:themeColor="text1"/>
          <w:sz w:val="32"/>
          <w:szCs w:val="32"/>
        </w:rPr>
        <w:t>金乡零碳智慧</w:t>
      </w:r>
      <w:proofErr w:type="gramEnd"/>
      <w:r>
        <w:rPr>
          <w:rFonts w:eastAsia="仿宋_GB2312" w:cs="Times New Roman" w:hint="eastAsia"/>
          <w:color w:val="000000" w:themeColor="text1"/>
          <w:sz w:val="32"/>
          <w:szCs w:val="32"/>
        </w:rPr>
        <w:t>服务区、惠大高速元山服务区</w:t>
      </w:r>
      <w:proofErr w:type="gramStart"/>
      <w:r>
        <w:rPr>
          <w:rFonts w:eastAsia="仿宋_GB2312" w:cs="Times New Roman" w:hint="eastAsia"/>
          <w:color w:val="000000" w:themeColor="text1"/>
          <w:sz w:val="32"/>
          <w:szCs w:val="32"/>
        </w:rPr>
        <w:t>光储充</w:t>
      </w:r>
      <w:proofErr w:type="gramEnd"/>
      <w:r>
        <w:rPr>
          <w:rFonts w:eastAsia="仿宋_GB2312" w:cs="Times New Roman" w:hint="eastAsia"/>
          <w:color w:val="000000" w:themeColor="text1"/>
          <w:sz w:val="32"/>
          <w:szCs w:val="32"/>
        </w:rPr>
        <w:t>一体化示范项目等进行实地调研，开展规范编制的数据准备工作。</w:t>
      </w:r>
    </w:p>
    <w:p w14:paraId="32220768"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2</w:t>
      </w:r>
      <w:r>
        <w:rPr>
          <w:rFonts w:eastAsia="仿宋_GB2312" w:cs="Times New Roman" w:hint="eastAsia"/>
          <w:color w:val="000000" w:themeColor="text1"/>
          <w:sz w:val="32"/>
          <w:szCs w:val="32"/>
        </w:rPr>
        <w:t>、起草阶段</w:t>
      </w:r>
    </w:p>
    <w:p w14:paraId="5E82F539"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lastRenderedPageBreak/>
        <w:t>规范起草阶段，编制单位召开编制工作启动会，明确了指南的总体方向、原则与目标等。编制工作组通过对调研阶段工作的整理和总结，基本确定了规范的主要框架和内容，结合我省服务设施现状以远期发展规划，吸收国内外指导性文件的技术要领，以明确建设标准、与鼓励机制；细化减</w:t>
      </w:r>
      <w:proofErr w:type="gramStart"/>
      <w:r>
        <w:rPr>
          <w:rFonts w:eastAsia="仿宋_GB2312" w:cs="Times New Roman" w:hint="eastAsia"/>
          <w:color w:val="000000" w:themeColor="text1"/>
          <w:sz w:val="32"/>
          <w:szCs w:val="32"/>
        </w:rPr>
        <w:t>排方向</w:t>
      </w:r>
      <w:proofErr w:type="gramEnd"/>
      <w:r>
        <w:rPr>
          <w:rFonts w:eastAsia="仿宋_GB2312" w:cs="Times New Roman" w:hint="eastAsia"/>
          <w:color w:val="000000" w:themeColor="text1"/>
          <w:sz w:val="32"/>
          <w:szCs w:val="32"/>
        </w:rPr>
        <w:t>与能效管理路径；强化碳汇管理与核算计量方法；推动绿色转型与高质量发展</w:t>
      </w:r>
      <w:proofErr w:type="gramStart"/>
      <w:r>
        <w:rPr>
          <w:rFonts w:eastAsia="仿宋_GB2312" w:cs="Times New Roman" w:hint="eastAsia"/>
          <w:color w:val="000000" w:themeColor="text1"/>
          <w:sz w:val="32"/>
          <w:szCs w:val="32"/>
        </w:rPr>
        <w:t>做为</w:t>
      </w:r>
      <w:proofErr w:type="gramEnd"/>
      <w:r>
        <w:rPr>
          <w:rFonts w:eastAsia="仿宋_GB2312" w:cs="Times New Roman" w:hint="eastAsia"/>
          <w:color w:val="000000" w:themeColor="text1"/>
          <w:sz w:val="32"/>
          <w:szCs w:val="32"/>
        </w:rPr>
        <w:t>核心开展起草和编写工作，完成初稿编制。</w:t>
      </w:r>
    </w:p>
    <w:p w14:paraId="610680BE"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3</w:t>
      </w:r>
      <w:r>
        <w:rPr>
          <w:rFonts w:eastAsia="仿宋_GB2312" w:cs="Times New Roman" w:hint="eastAsia"/>
          <w:color w:val="000000" w:themeColor="text1"/>
          <w:sz w:val="32"/>
          <w:szCs w:val="32"/>
        </w:rPr>
        <w:t>、自行征求意见</w:t>
      </w:r>
    </w:p>
    <w:p w14:paraId="5185EE96" w14:textId="77777777" w:rsidR="00DB642A" w:rsidRDefault="00AF3DB6">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初稿编制完成后，编制工作组开展了内部互评及内部征求意见工作。共收到定向发送的单位意见反馈表</w:t>
      </w:r>
      <w:r>
        <w:rPr>
          <w:rFonts w:eastAsia="仿宋_GB2312" w:cs="Times New Roman" w:hint="eastAsia"/>
          <w:color w:val="000000" w:themeColor="text1"/>
          <w:sz w:val="32"/>
          <w:szCs w:val="32"/>
        </w:rPr>
        <w:t>7</w:t>
      </w:r>
      <w:r>
        <w:rPr>
          <w:rFonts w:eastAsia="仿宋_GB2312" w:cs="Times New Roman" w:hint="eastAsia"/>
          <w:color w:val="000000" w:themeColor="text1"/>
          <w:sz w:val="32"/>
          <w:szCs w:val="32"/>
        </w:rPr>
        <w:t>份，其中</w:t>
      </w:r>
      <w:r>
        <w:rPr>
          <w:rFonts w:eastAsia="仿宋_GB2312" w:cs="Times New Roman" w:hint="eastAsia"/>
          <w:color w:val="000000" w:themeColor="text1"/>
          <w:sz w:val="32"/>
          <w:szCs w:val="32"/>
        </w:rPr>
        <w:t>3</w:t>
      </w:r>
      <w:r>
        <w:rPr>
          <w:rFonts w:eastAsia="仿宋_GB2312" w:cs="Times New Roman" w:hint="eastAsia"/>
          <w:color w:val="000000" w:themeColor="text1"/>
          <w:sz w:val="32"/>
          <w:szCs w:val="32"/>
        </w:rPr>
        <w:t>份无意见，</w:t>
      </w:r>
      <w:r>
        <w:rPr>
          <w:rFonts w:eastAsia="仿宋_GB2312" w:cs="Times New Roman" w:hint="eastAsia"/>
          <w:color w:val="000000" w:themeColor="text1"/>
          <w:sz w:val="32"/>
          <w:szCs w:val="32"/>
        </w:rPr>
        <w:t>4</w:t>
      </w:r>
      <w:r>
        <w:rPr>
          <w:rFonts w:eastAsia="仿宋_GB2312" w:cs="Times New Roman" w:hint="eastAsia"/>
          <w:color w:val="000000" w:themeColor="text1"/>
          <w:sz w:val="32"/>
          <w:szCs w:val="32"/>
        </w:rPr>
        <w:t>份有意见，经整理后共有</w:t>
      </w:r>
      <w:r>
        <w:rPr>
          <w:rFonts w:eastAsia="仿宋_GB2312" w:cs="Times New Roman" w:hint="eastAsia"/>
          <w:color w:val="000000" w:themeColor="text1"/>
          <w:sz w:val="32"/>
          <w:szCs w:val="32"/>
        </w:rPr>
        <w:t>8</w:t>
      </w:r>
      <w:r>
        <w:rPr>
          <w:rFonts w:eastAsia="仿宋_GB2312" w:cs="Times New Roman" w:hint="eastAsia"/>
          <w:color w:val="000000" w:themeColor="text1"/>
          <w:sz w:val="32"/>
          <w:szCs w:val="32"/>
        </w:rPr>
        <w:t>条意见。编制工作组在此基础上开展修编，形成可供外部征求意见的指南初稿</w:t>
      </w:r>
      <w:r>
        <w:rPr>
          <w:rFonts w:eastAsia="仿宋_GB2312" w:cs="Times New Roman"/>
          <w:color w:val="000000" w:themeColor="text1"/>
          <w:sz w:val="32"/>
          <w:szCs w:val="32"/>
        </w:rPr>
        <w:t>。</w:t>
      </w:r>
    </w:p>
    <w:p w14:paraId="1A1ECA1C" w14:textId="77777777" w:rsidR="00A41524" w:rsidRDefault="00A41524">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4</w:t>
      </w:r>
      <w:r>
        <w:rPr>
          <w:rFonts w:eastAsia="仿宋_GB2312" w:cs="Times New Roman" w:hint="eastAsia"/>
          <w:color w:val="000000" w:themeColor="text1"/>
          <w:sz w:val="32"/>
          <w:szCs w:val="32"/>
        </w:rPr>
        <w:t>、初稿审查</w:t>
      </w:r>
    </w:p>
    <w:p w14:paraId="2A3C50F1" w14:textId="77777777" w:rsidR="00A41524" w:rsidRPr="00A41524" w:rsidRDefault="00A41524" w:rsidP="00A41524">
      <w:pPr>
        <w:spacing w:line="560" w:lineRule="exact"/>
        <w:ind w:firstLineChars="200" w:firstLine="640"/>
        <w:rPr>
          <w:rFonts w:eastAsia="仿宋_GB2312" w:cs="Times New Roman"/>
          <w:color w:val="000000" w:themeColor="text1"/>
          <w:sz w:val="32"/>
          <w:szCs w:val="32"/>
        </w:rPr>
      </w:pPr>
      <w:r w:rsidRPr="00A41524">
        <w:rPr>
          <w:rFonts w:eastAsia="仿宋_GB2312" w:cs="Times New Roman" w:hint="eastAsia"/>
          <w:color w:val="000000" w:themeColor="text1"/>
          <w:sz w:val="32"/>
          <w:szCs w:val="32"/>
        </w:rPr>
        <w:t>广东省交通运输标准化技术委员会公路工程分技术委员会于</w:t>
      </w:r>
      <w:r w:rsidRPr="00A41524">
        <w:rPr>
          <w:rFonts w:eastAsia="仿宋_GB2312" w:cs="Times New Roman" w:hint="eastAsia"/>
          <w:color w:val="000000" w:themeColor="text1"/>
          <w:sz w:val="32"/>
          <w:szCs w:val="32"/>
        </w:rPr>
        <w:t>2024</w:t>
      </w:r>
      <w:r w:rsidRPr="00A41524">
        <w:rPr>
          <w:rFonts w:eastAsia="仿宋_GB2312" w:cs="Times New Roman" w:hint="eastAsia"/>
          <w:color w:val="000000" w:themeColor="text1"/>
          <w:sz w:val="32"/>
          <w:szCs w:val="32"/>
        </w:rPr>
        <w:t>年</w:t>
      </w:r>
      <w:r w:rsidRPr="00A41524">
        <w:rPr>
          <w:rFonts w:eastAsia="仿宋_GB2312" w:cs="Times New Roman" w:hint="eastAsia"/>
          <w:color w:val="000000" w:themeColor="text1"/>
          <w:sz w:val="32"/>
          <w:szCs w:val="32"/>
        </w:rPr>
        <w:t>12</w:t>
      </w:r>
      <w:r w:rsidRPr="00A41524">
        <w:rPr>
          <w:rFonts w:eastAsia="仿宋_GB2312" w:cs="Times New Roman" w:hint="eastAsia"/>
          <w:color w:val="000000" w:themeColor="text1"/>
          <w:sz w:val="32"/>
          <w:szCs w:val="32"/>
        </w:rPr>
        <w:t>月</w:t>
      </w:r>
      <w:r w:rsidRPr="00A41524">
        <w:rPr>
          <w:rFonts w:eastAsia="仿宋_GB2312" w:cs="Times New Roman" w:hint="eastAsia"/>
          <w:color w:val="000000" w:themeColor="text1"/>
          <w:sz w:val="32"/>
          <w:szCs w:val="32"/>
        </w:rPr>
        <w:t>19</w:t>
      </w:r>
      <w:r w:rsidRPr="00A41524">
        <w:rPr>
          <w:rFonts w:eastAsia="仿宋_GB2312" w:cs="Times New Roman" w:hint="eastAsia"/>
          <w:color w:val="000000" w:themeColor="text1"/>
          <w:sz w:val="32"/>
          <w:szCs w:val="32"/>
        </w:rPr>
        <w:t>日在广州组织召开《高速公路近零碳服务区建设指南》初稿审查会。</w:t>
      </w:r>
      <w:r>
        <w:rPr>
          <w:rFonts w:eastAsia="仿宋_GB2312" w:cs="Times New Roman" w:hint="eastAsia"/>
          <w:color w:val="000000" w:themeColor="text1"/>
          <w:sz w:val="32"/>
          <w:szCs w:val="32"/>
        </w:rPr>
        <w:t>本文件通过了审查，根据审查意见及收集到的专家个人意见</w:t>
      </w:r>
      <w:r w:rsidRPr="00A41524">
        <w:rPr>
          <w:rFonts w:eastAsia="仿宋_GB2312" w:cs="Times New Roman"/>
          <w:color w:val="000000" w:themeColor="text1"/>
          <w:sz w:val="32"/>
          <w:szCs w:val="32"/>
        </w:rPr>
        <w:t>修改完善征求意见稿，形成指导性技术文件送审稿</w:t>
      </w:r>
      <w:r>
        <w:rPr>
          <w:rFonts w:eastAsia="仿宋_GB2312" w:cs="Times New Roman" w:hint="eastAsia"/>
          <w:color w:val="000000" w:themeColor="text1"/>
          <w:sz w:val="32"/>
          <w:szCs w:val="32"/>
        </w:rPr>
        <w:t>。</w:t>
      </w:r>
    </w:p>
    <w:p w14:paraId="66F9ECF0" w14:textId="77777777" w:rsidR="00DB642A" w:rsidRDefault="00000000">
      <w:pPr>
        <w:pStyle w:val="1"/>
        <w:spacing w:before="0" w:after="0" w:line="560" w:lineRule="exact"/>
        <w:ind w:firstLineChars="200" w:firstLine="640"/>
        <w:jc w:val="left"/>
        <w:rPr>
          <w:rFonts w:eastAsia="黑体" w:cs="Times New Roman"/>
          <w:b w:val="0"/>
          <w:bCs w:val="0"/>
          <w:color w:val="000000" w:themeColor="text1"/>
          <w:sz w:val="32"/>
          <w:szCs w:val="32"/>
        </w:rPr>
      </w:pPr>
      <w:bookmarkStart w:id="16" w:name="_Toc184821105"/>
      <w:r>
        <w:rPr>
          <w:rFonts w:eastAsia="黑体" w:cs="Times New Roman" w:hint="eastAsia"/>
          <w:b w:val="0"/>
          <w:bCs w:val="0"/>
          <w:color w:val="000000" w:themeColor="text1"/>
          <w:sz w:val="32"/>
          <w:szCs w:val="32"/>
        </w:rPr>
        <w:t>八、重大分歧意见的处理经过和依据</w:t>
      </w:r>
      <w:bookmarkEnd w:id="16"/>
    </w:p>
    <w:p w14:paraId="1D03A6A8" w14:textId="77777777" w:rsidR="00DB642A" w:rsidRDefault="00AC4A5A">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现阶段</w:t>
      </w:r>
      <w:r w:rsidR="00FB5893">
        <w:rPr>
          <w:rFonts w:eastAsia="仿宋_GB2312" w:cs="Times New Roman" w:hint="eastAsia"/>
          <w:color w:val="000000" w:themeColor="text1"/>
          <w:sz w:val="32"/>
          <w:szCs w:val="32"/>
        </w:rPr>
        <w:t>暂无重大分歧意见</w:t>
      </w:r>
      <w:r>
        <w:rPr>
          <w:rFonts w:eastAsia="仿宋_GB2312" w:cs="Times New Roman"/>
          <w:color w:val="000000" w:themeColor="text1"/>
          <w:sz w:val="32"/>
          <w:szCs w:val="32"/>
        </w:rPr>
        <w:t>。</w:t>
      </w:r>
    </w:p>
    <w:p w14:paraId="301D2AFD" w14:textId="77777777" w:rsidR="00DB642A" w:rsidRDefault="00000000">
      <w:pPr>
        <w:pStyle w:val="1"/>
        <w:numPr>
          <w:ilvl w:val="0"/>
          <w:numId w:val="8"/>
        </w:numPr>
        <w:spacing w:before="0" w:after="0" w:line="560" w:lineRule="exact"/>
        <w:ind w:firstLineChars="200" w:firstLine="640"/>
        <w:jc w:val="left"/>
        <w:rPr>
          <w:rFonts w:eastAsia="黑体" w:cs="Times New Roman"/>
          <w:b w:val="0"/>
          <w:bCs w:val="0"/>
          <w:color w:val="000000" w:themeColor="text1"/>
          <w:sz w:val="32"/>
          <w:szCs w:val="32"/>
        </w:rPr>
      </w:pPr>
      <w:bookmarkStart w:id="17" w:name="_Toc184821106"/>
      <w:r>
        <w:rPr>
          <w:rFonts w:eastAsia="黑体" w:cs="Times New Roman" w:hint="eastAsia"/>
          <w:b w:val="0"/>
          <w:bCs w:val="0"/>
          <w:color w:val="000000" w:themeColor="text1"/>
          <w:sz w:val="32"/>
          <w:szCs w:val="32"/>
        </w:rPr>
        <w:t>涉及专利的有关说明。</w:t>
      </w:r>
      <w:bookmarkEnd w:id="17"/>
    </w:p>
    <w:p w14:paraId="6A06E8F9"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本文件的某些内容可能涉及专利。本文件的发布机构不</w:t>
      </w:r>
      <w:r>
        <w:rPr>
          <w:rFonts w:eastAsia="仿宋_GB2312" w:cs="Times New Roman" w:hint="eastAsia"/>
          <w:color w:val="000000" w:themeColor="text1"/>
          <w:sz w:val="32"/>
          <w:szCs w:val="32"/>
        </w:rPr>
        <w:lastRenderedPageBreak/>
        <w:t>承担识别专利的责任。</w:t>
      </w:r>
    </w:p>
    <w:p w14:paraId="26249A16" w14:textId="77777777" w:rsidR="00DB642A" w:rsidRDefault="00000000">
      <w:pPr>
        <w:pStyle w:val="1"/>
        <w:spacing w:before="0" w:after="0" w:line="560" w:lineRule="exact"/>
        <w:ind w:firstLineChars="200" w:firstLine="640"/>
        <w:jc w:val="left"/>
        <w:rPr>
          <w:rFonts w:eastAsia="黑体" w:cs="Times New Roman"/>
          <w:b w:val="0"/>
          <w:bCs w:val="0"/>
          <w:color w:val="000000" w:themeColor="text1"/>
          <w:sz w:val="32"/>
          <w:szCs w:val="32"/>
        </w:rPr>
      </w:pPr>
      <w:bookmarkStart w:id="18" w:name="_Toc184821107"/>
      <w:r>
        <w:rPr>
          <w:rFonts w:eastAsia="黑体" w:cs="Times New Roman"/>
          <w:b w:val="0"/>
          <w:bCs w:val="0"/>
          <w:color w:val="000000" w:themeColor="text1"/>
          <w:sz w:val="32"/>
          <w:szCs w:val="32"/>
        </w:rPr>
        <w:t>十、实施指导性技术文件的措施建议。</w:t>
      </w:r>
      <w:bookmarkEnd w:id="18"/>
    </w:p>
    <w:p w14:paraId="6537FA9B" w14:textId="77777777" w:rsidR="00DB642A" w:rsidRDefault="00000000">
      <w:pPr>
        <w:spacing w:line="560" w:lineRule="exact"/>
        <w:ind w:firstLineChars="200" w:firstLine="640"/>
      </w:pPr>
      <w:r>
        <w:rPr>
          <w:rFonts w:eastAsia="仿宋_GB2312" w:cs="Times New Roman" w:hint="eastAsia"/>
          <w:color w:val="000000" w:themeColor="text1"/>
          <w:sz w:val="32"/>
          <w:szCs w:val="32"/>
        </w:rPr>
        <w:t>标准编制组将积极落实文件宣贯，加强技术指导性文件的宣传与相关培训；在设计与建设项目中</w:t>
      </w:r>
      <w:proofErr w:type="gramStart"/>
      <w:r>
        <w:rPr>
          <w:rFonts w:eastAsia="仿宋_GB2312" w:cs="Times New Roman" w:hint="eastAsia"/>
          <w:color w:val="000000" w:themeColor="text1"/>
          <w:sz w:val="32"/>
          <w:szCs w:val="32"/>
        </w:rPr>
        <w:t>推广近零碳</w:t>
      </w:r>
      <w:proofErr w:type="gramEnd"/>
      <w:r>
        <w:rPr>
          <w:rFonts w:eastAsia="仿宋_GB2312" w:cs="Times New Roman" w:hint="eastAsia"/>
          <w:color w:val="000000" w:themeColor="text1"/>
          <w:sz w:val="32"/>
          <w:szCs w:val="32"/>
        </w:rPr>
        <w:t>导向的先进技术、设备等，</w:t>
      </w:r>
      <w:proofErr w:type="gramStart"/>
      <w:r>
        <w:rPr>
          <w:rFonts w:eastAsia="仿宋_GB2312" w:cs="Times New Roman" w:hint="eastAsia"/>
          <w:color w:val="000000" w:themeColor="text1"/>
          <w:sz w:val="32"/>
          <w:szCs w:val="32"/>
        </w:rPr>
        <w:t>将零碳</w:t>
      </w:r>
      <w:proofErr w:type="gramEnd"/>
      <w:r>
        <w:rPr>
          <w:rFonts w:eastAsia="仿宋_GB2312" w:cs="Times New Roman" w:hint="eastAsia"/>
          <w:color w:val="000000" w:themeColor="text1"/>
          <w:sz w:val="32"/>
          <w:szCs w:val="32"/>
        </w:rPr>
        <w:t>理念融入日常工作；通过组织设计、施工、建设管理等多方合作与措施落实，推动绿色、低碳、循环发展，助力建设更多具有广东特色、具有高质量发展、百千万工程核心理念底色的</w:t>
      </w:r>
      <w:proofErr w:type="gramStart"/>
      <w:r>
        <w:rPr>
          <w:rFonts w:eastAsia="仿宋_GB2312" w:cs="Times New Roman" w:hint="eastAsia"/>
          <w:color w:val="000000" w:themeColor="text1"/>
          <w:sz w:val="32"/>
          <w:szCs w:val="32"/>
        </w:rPr>
        <w:t>近零碳服务区</w:t>
      </w:r>
      <w:proofErr w:type="gramEnd"/>
      <w:r>
        <w:rPr>
          <w:rFonts w:eastAsia="仿宋_GB2312" w:cs="Times New Roman" w:hint="eastAsia"/>
          <w:color w:val="000000" w:themeColor="text1"/>
          <w:sz w:val="32"/>
          <w:szCs w:val="32"/>
        </w:rPr>
        <w:t>，助力人民群众绿色美好出行的发展进程。</w:t>
      </w:r>
    </w:p>
    <w:p w14:paraId="2F960A7D" w14:textId="77777777" w:rsidR="00DB642A" w:rsidRDefault="00000000">
      <w:pPr>
        <w:pStyle w:val="1"/>
        <w:spacing w:before="0" w:after="0" w:line="560" w:lineRule="exact"/>
        <w:ind w:firstLineChars="200" w:firstLine="640"/>
        <w:jc w:val="left"/>
        <w:rPr>
          <w:rFonts w:eastAsia="黑体" w:cs="Times New Roman"/>
          <w:b w:val="0"/>
          <w:bCs w:val="0"/>
          <w:color w:val="000000" w:themeColor="text1"/>
          <w:sz w:val="32"/>
          <w:szCs w:val="32"/>
        </w:rPr>
      </w:pPr>
      <w:bookmarkStart w:id="19" w:name="_Toc184821108"/>
      <w:r>
        <w:rPr>
          <w:rFonts w:eastAsia="黑体" w:cs="Times New Roman"/>
          <w:b w:val="0"/>
          <w:bCs w:val="0"/>
          <w:color w:val="000000" w:themeColor="text1"/>
          <w:sz w:val="32"/>
          <w:szCs w:val="32"/>
        </w:rPr>
        <w:t>十一、其他需要说明的情况</w:t>
      </w:r>
      <w:bookmarkEnd w:id="19"/>
    </w:p>
    <w:p w14:paraId="2A1D32C1" w14:textId="77777777" w:rsidR="00DB642A" w:rsidRDefault="00000000">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无。</w:t>
      </w:r>
    </w:p>
    <w:sectPr w:rsidR="00DB642A">
      <w:footerReference w:type="default" r:id="rId11"/>
      <w:pgSz w:w="11906" w:h="16838"/>
      <w:pgMar w:top="1440" w:right="1800" w:bottom="1440" w:left="1800" w:header="851" w:footer="992" w:gutter="0"/>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明融 庄" w:date="2025-01-06T10:33:00Z" w:initials="明庄">
    <w:p w14:paraId="3EAD649F" w14:textId="77777777" w:rsidR="00DD710F" w:rsidRDefault="00DD710F" w:rsidP="00DD710F">
      <w:pPr>
        <w:pStyle w:val="ad"/>
      </w:pPr>
      <w:r>
        <w:rPr>
          <w:rStyle w:val="aff"/>
        </w:rPr>
        <w:annotationRef/>
      </w:r>
      <w:r>
        <w:rPr>
          <w:rFonts w:hint="eastAsia"/>
        </w:rPr>
        <w:t>建议补充主编单位和参编单位关于近零碳高速公路服务区的相关简洁。</w:t>
      </w:r>
    </w:p>
  </w:comment>
  <w:comment w:id="6" w:author="明融 庄" w:date="2025-01-06T10:35:00Z" w:initials="明庄">
    <w:p w14:paraId="6D29C243" w14:textId="77777777" w:rsidR="00DD710F" w:rsidRDefault="00DD710F" w:rsidP="00DD710F">
      <w:pPr>
        <w:pStyle w:val="ad"/>
      </w:pPr>
      <w:r>
        <w:rPr>
          <w:rStyle w:val="aff"/>
        </w:rPr>
        <w:annotationRef/>
      </w:r>
      <w:r>
        <w:rPr>
          <w:rFonts w:hint="eastAsia"/>
        </w:rPr>
        <w:t>建议把人员分工也细化一下。</w:t>
      </w:r>
    </w:p>
  </w:comment>
  <w:comment w:id="11" w:author="明融 庄" w:date="2025-01-06T10:34:00Z" w:initials="明庄">
    <w:p w14:paraId="68A27F06" w14:textId="7328CFFA" w:rsidR="00DD710F" w:rsidRDefault="00DD710F" w:rsidP="00DD710F">
      <w:pPr>
        <w:pStyle w:val="ad"/>
      </w:pPr>
      <w:r>
        <w:rPr>
          <w:rStyle w:val="aff"/>
        </w:rPr>
        <w:annotationRef/>
      </w:r>
      <w:r>
        <w:rPr>
          <w:rFonts w:hint="eastAsia"/>
        </w:rPr>
        <w:t>文件并不是完全遵循</w:t>
      </w:r>
      <w:r>
        <w:rPr>
          <w:rFonts w:hint="eastAsia"/>
        </w:rPr>
        <w:t>GB</w:t>
      </w:r>
      <w:r>
        <w:t xml:space="preserve">/T 1.1 </w:t>
      </w:r>
      <w:r>
        <w:rPr>
          <w:rFonts w:hint="eastAsia"/>
        </w:rPr>
        <w:t>编写的。依据文件修改为《广东省交通运输标准化指导性技术文件工作指引（试行）》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AD649F" w15:done="0"/>
  <w15:commentEx w15:paraId="6D29C243" w15:done="0"/>
  <w15:commentEx w15:paraId="68A27F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C81CDC" w16cex:dateUtc="2025-01-06T02:33:00Z"/>
  <w16cex:commentExtensible w16cex:durableId="1941E864" w16cex:dateUtc="2025-01-06T02:35:00Z"/>
  <w16cex:commentExtensible w16cex:durableId="6E2007EC" w16cex:dateUtc="2025-01-06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AD649F" w16cid:durableId="34C81CDC"/>
  <w16cid:commentId w16cid:paraId="6D29C243" w16cid:durableId="1941E864"/>
  <w16cid:commentId w16cid:paraId="68A27F06" w16cid:durableId="6E2007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B078D" w14:textId="77777777" w:rsidR="00EE3CC4" w:rsidRDefault="00EE3CC4">
      <w:pPr>
        <w:spacing w:line="240" w:lineRule="auto"/>
      </w:pPr>
      <w:r>
        <w:separator/>
      </w:r>
    </w:p>
    <w:p w14:paraId="10FDACF4" w14:textId="77777777" w:rsidR="00EE3CC4" w:rsidRDefault="00EE3CC4"/>
  </w:endnote>
  <w:endnote w:type="continuationSeparator" w:id="0">
    <w:p w14:paraId="3F930C6F" w14:textId="77777777" w:rsidR="00EE3CC4" w:rsidRDefault="00EE3CC4">
      <w:pPr>
        <w:spacing w:line="240" w:lineRule="auto"/>
      </w:pPr>
      <w:r>
        <w:continuationSeparator/>
      </w:r>
    </w:p>
    <w:p w14:paraId="0750C715" w14:textId="77777777" w:rsidR="00EE3CC4" w:rsidRDefault="00EE3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2D6C2" w14:textId="77777777" w:rsidR="00DB642A" w:rsidRDefault="00000000">
    <w:pPr>
      <w:pStyle w:val="af5"/>
      <w:jc w:val="center"/>
      <w:rPr>
        <w:sz w:val="28"/>
        <w:szCs w:val="28"/>
      </w:rPr>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1</w:t>
    </w:r>
    <w:r>
      <w:rPr>
        <w:sz w:val="28"/>
        <w:szCs w:val="28"/>
      </w:rPr>
      <w:fldChar w:fldCharType="end"/>
    </w:r>
    <w:r>
      <w:rPr>
        <w:sz w:val="28"/>
        <w:szCs w:val="28"/>
      </w:rPr>
      <w:t>-</w:t>
    </w:r>
  </w:p>
  <w:p w14:paraId="66E59183" w14:textId="77777777" w:rsidR="00255981" w:rsidRDefault="002559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B6901" w14:textId="77777777" w:rsidR="00EE3CC4" w:rsidRDefault="00EE3CC4">
      <w:r>
        <w:separator/>
      </w:r>
    </w:p>
    <w:p w14:paraId="3BC8267A" w14:textId="77777777" w:rsidR="00EE3CC4" w:rsidRDefault="00EE3CC4"/>
  </w:footnote>
  <w:footnote w:type="continuationSeparator" w:id="0">
    <w:p w14:paraId="21EA2ED8" w14:textId="77777777" w:rsidR="00EE3CC4" w:rsidRDefault="00EE3CC4">
      <w:r>
        <w:continuationSeparator/>
      </w:r>
    </w:p>
    <w:p w14:paraId="3013E910" w14:textId="77777777" w:rsidR="00EE3CC4" w:rsidRDefault="00EE3C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B28F840"/>
    <w:multiLevelType w:val="singleLevel"/>
    <w:tmpl w:val="EB28F840"/>
    <w:lvl w:ilvl="0">
      <w:start w:val="1"/>
      <w:numFmt w:val="chineseCounting"/>
      <w:suff w:val="nothing"/>
      <w:lvlText w:val="%1、"/>
      <w:lvlJc w:val="left"/>
      <w:rPr>
        <w:rFonts w:hint="eastAsia"/>
      </w:rPr>
    </w:lvl>
  </w:abstractNum>
  <w:abstractNum w:abstractNumId="1" w15:restartNumberingAfterBreak="0">
    <w:nsid w:val="04211652"/>
    <w:multiLevelType w:val="multilevel"/>
    <w:tmpl w:val="04211652"/>
    <w:lvl w:ilvl="0">
      <w:start w:val="2"/>
      <w:numFmt w:val="decimal"/>
      <w:pStyle w:val="51"/>
      <w:suff w:val="nothing"/>
      <w:lvlText w:val="6.2.3.%1　"/>
      <w:lvlJc w:val="left"/>
      <w:pPr>
        <w:ind w:left="420" w:hanging="420"/>
      </w:pPr>
      <w:rPr>
        <w:rFonts w:ascii="Times New Roman" w:eastAsia="黑体" w:hAnsi="Times New Roman" w:cs="Times New Roman" w:hint="default"/>
        <w:b/>
      </w:rPr>
    </w:lvl>
    <w:lvl w:ilvl="1">
      <w:start w:val="3"/>
      <w:numFmt w:val="decimal"/>
      <w:suff w:val="space"/>
      <w:lvlText w:val="5.5.%2　"/>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2"/>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0" w:firstLine="0"/>
      </w:pPr>
      <w:rPr>
        <w:rFonts w:hint="eastAsia"/>
      </w:rPr>
    </w:lvl>
    <w:lvl w:ilvl="8">
      <w:start w:val="1"/>
      <w:numFmt w:val="decimal"/>
      <w:lvlText w:val="%1.%2.%3.%4.%5.%6.%7.%8.%9"/>
      <w:lvlJc w:val="left"/>
      <w:pPr>
        <w:tabs>
          <w:tab w:val="left" w:pos="4777"/>
        </w:tabs>
        <w:ind w:left="0" w:firstLine="0"/>
      </w:pPr>
      <w:rPr>
        <w:rFonts w:hint="eastAsia"/>
      </w:rPr>
    </w:lvl>
  </w:abstractNum>
  <w:abstractNum w:abstractNumId="4" w15:restartNumberingAfterBreak="0">
    <w:nsid w:val="3A634E57"/>
    <w:multiLevelType w:val="singleLevel"/>
    <w:tmpl w:val="3A634E57"/>
    <w:lvl w:ilvl="0">
      <w:start w:val="9"/>
      <w:numFmt w:val="chineseCounting"/>
      <w:suff w:val="nothing"/>
      <w:lvlText w:val="%1、"/>
      <w:lvlJc w:val="left"/>
      <w:rPr>
        <w:rFonts w:hint="eastAsia"/>
      </w:rPr>
    </w:lvl>
  </w:abstractNum>
  <w:abstractNum w:abstractNumId="5" w15:restartNumberingAfterBreak="0">
    <w:nsid w:val="45ABBD8E"/>
    <w:multiLevelType w:val="singleLevel"/>
    <w:tmpl w:val="45ABBD8E"/>
    <w:lvl w:ilvl="0">
      <w:start w:val="6"/>
      <w:numFmt w:val="chineseCounting"/>
      <w:suff w:val="nothing"/>
      <w:lvlText w:val="%1、"/>
      <w:lvlJc w:val="left"/>
      <w:rPr>
        <w:rFonts w:hint="eastAsia"/>
      </w:rPr>
    </w:lvl>
  </w:abstractNum>
  <w:abstractNum w:abstractNumId="6" w15:restartNumberingAfterBreak="0">
    <w:nsid w:val="4C50680D"/>
    <w:multiLevelType w:val="multilevel"/>
    <w:tmpl w:val="4C50680D"/>
    <w:lvl w:ilvl="0">
      <w:start w:val="1"/>
      <w:numFmt w:val="none"/>
      <w:pStyle w:val="a6"/>
      <w:suff w:val="nothing"/>
      <w:lvlText w:val="4　"/>
      <w:lvlJc w:val="left"/>
      <w:pPr>
        <w:ind w:left="420" w:hanging="420"/>
      </w:pPr>
      <w:rPr>
        <w:rFonts w:ascii="黑体" w:eastAsia="黑体" w:hAnsi="黑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646260FA"/>
    <w:multiLevelType w:val="multilevel"/>
    <w:tmpl w:val="646260FA"/>
    <w:lvl w:ilvl="0">
      <w:start w:val="1"/>
      <w:numFmt w:val="decimal"/>
      <w:pStyle w:val="a7"/>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num w:numId="1" w16cid:durableId="1056244704">
    <w:abstractNumId w:val="3"/>
  </w:num>
  <w:num w:numId="2" w16cid:durableId="47190005">
    <w:abstractNumId w:val="6"/>
  </w:num>
  <w:num w:numId="3" w16cid:durableId="653532599">
    <w:abstractNumId w:val="1"/>
  </w:num>
  <w:num w:numId="4" w16cid:durableId="457141322">
    <w:abstractNumId w:val="7"/>
  </w:num>
  <w:num w:numId="5" w16cid:durableId="2056275384">
    <w:abstractNumId w:val="2"/>
  </w:num>
  <w:num w:numId="6" w16cid:durableId="1772357292">
    <w:abstractNumId w:val="0"/>
  </w:num>
  <w:num w:numId="7" w16cid:durableId="105851610">
    <w:abstractNumId w:val="5"/>
  </w:num>
  <w:num w:numId="8" w16cid:durableId="2041034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明融 庄">
    <w15:presenceInfo w15:providerId="Windows Live" w15:userId="ecaac219b5173f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ZkYjNlMjViOThlMDc2ZTJjODk2ZGM4OTIwYjA2NjAifQ=="/>
  </w:docVars>
  <w:rsids>
    <w:rsidRoot w:val="003717FE"/>
    <w:rsid w:val="000037A7"/>
    <w:rsid w:val="000037D5"/>
    <w:rsid w:val="0001124A"/>
    <w:rsid w:val="0001469E"/>
    <w:rsid w:val="00014D9D"/>
    <w:rsid w:val="00024A02"/>
    <w:rsid w:val="00031C41"/>
    <w:rsid w:val="000413BC"/>
    <w:rsid w:val="00041832"/>
    <w:rsid w:val="00046220"/>
    <w:rsid w:val="00051EBE"/>
    <w:rsid w:val="000527F5"/>
    <w:rsid w:val="000572D5"/>
    <w:rsid w:val="00060882"/>
    <w:rsid w:val="00062898"/>
    <w:rsid w:val="000628BF"/>
    <w:rsid w:val="00066BB5"/>
    <w:rsid w:val="000724C8"/>
    <w:rsid w:val="0007305D"/>
    <w:rsid w:val="00080C9D"/>
    <w:rsid w:val="0008342C"/>
    <w:rsid w:val="00087982"/>
    <w:rsid w:val="00090849"/>
    <w:rsid w:val="000946FA"/>
    <w:rsid w:val="000A5712"/>
    <w:rsid w:val="000A5BDA"/>
    <w:rsid w:val="000B29DA"/>
    <w:rsid w:val="000C0EDF"/>
    <w:rsid w:val="000C7992"/>
    <w:rsid w:val="000E20B6"/>
    <w:rsid w:val="000E5D0C"/>
    <w:rsid w:val="000F1035"/>
    <w:rsid w:val="000F1CE7"/>
    <w:rsid w:val="000F23C7"/>
    <w:rsid w:val="000F57A2"/>
    <w:rsid w:val="000F5D85"/>
    <w:rsid w:val="000F65B5"/>
    <w:rsid w:val="000F76FF"/>
    <w:rsid w:val="001006C9"/>
    <w:rsid w:val="00103BC9"/>
    <w:rsid w:val="00103BD9"/>
    <w:rsid w:val="0010530D"/>
    <w:rsid w:val="00107317"/>
    <w:rsid w:val="00111A0F"/>
    <w:rsid w:val="00122CF2"/>
    <w:rsid w:val="001241AB"/>
    <w:rsid w:val="001249A2"/>
    <w:rsid w:val="001435F5"/>
    <w:rsid w:val="001472CD"/>
    <w:rsid w:val="001545FC"/>
    <w:rsid w:val="00154701"/>
    <w:rsid w:val="00154B3B"/>
    <w:rsid w:val="00154BF3"/>
    <w:rsid w:val="001568D8"/>
    <w:rsid w:val="001706B5"/>
    <w:rsid w:val="001713CA"/>
    <w:rsid w:val="0017141F"/>
    <w:rsid w:val="001739F8"/>
    <w:rsid w:val="0017468F"/>
    <w:rsid w:val="0017584B"/>
    <w:rsid w:val="001845FE"/>
    <w:rsid w:val="001865BF"/>
    <w:rsid w:val="001965FF"/>
    <w:rsid w:val="001A196B"/>
    <w:rsid w:val="001A371E"/>
    <w:rsid w:val="001A4D20"/>
    <w:rsid w:val="001A5858"/>
    <w:rsid w:val="001B4F2C"/>
    <w:rsid w:val="001B6994"/>
    <w:rsid w:val="001B7369"/>
    <w:rsid w:val="001B79F2"/>
    <w:rsid w:val="001C6197"/>
    <w:rsid w:val="001D0091"/>
    <w:rsid w:val="001D1F9E"/>
    <w:rsid w:val="001D6DB5"/>
    <w:rsid w:val="001D75AE"/>
    <w:rsid w:val="001E0A08"/>
    <w:rsid w:val="001E29E6"/>
    <w:rsid w:val="001E6157"/>
    <w:rsid w:val="001E7C08"/>
    <w:rsid w:val="00205091"/>
    <w:rsid w:val="00241AF3"/>
    <w:rsid w:val="0024499B"/>
    <w:rsid w:val="0025235D"/>
    <w:rsid w:val="002554E4"/>
    <w:rsid w:val="00255981"/>
    <w:rsid w:val="002565CA"/>
    <w:rsid w:val="002616D4"/>
    <w:rsid w:val="002666CB"/>
    <w:rsid w:val="00271AA9"/>
    <w:rsid w:val="0028031B"/>
    <w:rsid w:val="00280A4E"/>
    <w:rsid w:val="00283264"/>
    <w:rsid w:val="002842C7"/>
    <w:rsid w:val="002874AF"/>
    <w:rsid w:val="00287EEF"/>
    <w:rsid w:val="002A63B2"/>
    <w:rsid w:val="002B1F4A"/>
    <w:rsid w:val="002C36CA"/>
    <w:rsid w:val="002C7514"/>
    <w:rsid w:val="002D0196"/>
    <w:rsid w:val="002D036D"/>
    <w:rsid w:val="002D2F9C"/>
    <w:rsid w:val="002D70F8"/>
    <w:rsid w:val="002D7DE7"/>
    <w:rsid w:val="002E1BF3"/>
    <w:rsid w:val="002F115B"/>
    <w:rsid w:val="002F4CAC"/>
    <w:rsid w:val="00300F5C"/>
    <w:rsid w:val="00304E11"/>
    <w:rsid w:val="003065A9"/>
    <w:rsid w:val="00310115"/>
    <w:rsid w:val="003167F2"/>
    <w:rsid w:val="00322A79"/>
    <w:rsid w:val="00324A4D"/>
    <w:rsid w:val="003277A3"/>
    <w:rsid w:val="0033384A"/>
    <w:rsid w:val="0033767C"/>
    <w:rsid w:val="00352069"/>
    <w:rsid w:val="003520A8"/>
    <w:rsid w:val="00354F41"/>
    <w:rsid w:val="00365252"/>
    <w:rsid w:val="00367341"/>
    <w:rsid w:val="003717FE"/>
    <w:rsid w:val="003730E3"/>
    <w:rsid w:val="00392846"/>
    <w:rsid w:val="00395271"/>
    <w:rsid w:val="00395376"/>
    <w:rsid w:val="003A138A"/>
    <w:rsid w:val="003A65AA"/>
    <w:rsid w:val="003B507B"/>
    <w:rsid w:val="003B72DE"/>
    <w:rsid w:val="003C0564"/>
    <w:rsid w:val="003C1D0D"/>
    <w:rsid w:val="003C2AFD"/>
    <w:rsid w:val="003C3794"/>
    <w:rsid w:val="003C46D9"/>
    <w:rsid w:val="003C6D95"/>
    <w:rsid w:val="003D0178"/>
    <w:rsid w:val="003D48A0"/>
    <w:rsid w:val="003D5452"/>
    <w:rsid w:val="003D576E"/>
    <w:rsid w:val="003E086F"/>
    <w:rsid w:val="003E13AE"/>
    <w:rsid w:val="00401F68"/>
    <w:rsid w:val="00402A01"/>
    <w:rsid w:val="00416A42"/>
    <w:rsid w:val="00426656"/>
    <w:rsid w:val="00430B09"/>
    <w:rsid w:val="00431397"/>
    <w:rsid w:val="0044510F"/>
    <w:rsid w:val="0044581A"/>
    <w:rsid w:val="00445A7C"/>
    <w:rsid w:val="004504E8"/>
    <w:rsid w:val="00452302"/>
    <w:rsid w:val="00455B1D"/>
    <w:rsid w:val="004702AB"/>
    <w:rsid w:val="00473E15"/>
    <w:rsid w:val="004874B2"/>
    <w:rsid w:val="00490396"/>
    <w:rsid w:val="00490BED"/>
    <w:rsid w:val="00491B0C"/>
    <w:rsid w:val="004A72FC"/>
    <w:rsid w:val="004B0A96"/>
    <w:rsid w:val="004B15AA"/>
    <w:rsid w:val="004B71C2"/>
    <w:rsid w:val="004C6042"/>
    <w:rsid w:val="004C6F19"/>
    <w:rsid w:val="004C721E"/>
    <w:rsid w:val="004D4AE2"/>
    <w:rsid w:val="004D69BF"/>
    <w:rsid w:val="004E457D"/>
    <w:rsid w:val="004E490F"/>
    <w:rsid w:val="004E5725"/>
    <w:rsid w:val="004E6F6F"/>
    <w:rsid w:val="004F1F96"/>
    <w:rsid w:val="004F296B"/>
    <w:rsid w:val="004F66EB"/>
    <w:rsid w:val="00510F0B"/>
    <w:rsid w:val="00511342"/>
    <w:rsid w:val="005134F9"/>
    <w:rsid w:val="005160C0"/>
    <w:rsid w:val="005208CA"/>
    <w:rsid w:val="005209AE"/>
    <w:rsid w:val="00522F7E"/>
    <w:rsid w:val="00527A69"/>
    <w:rsid w:val="00531196"/>
    <w:rsid w:val="0053718C"/>
    <w:rsid w:val="00547F2C"/>
    <w:rsid w:val="0055068A"/>
    <w:rsid w:val="00554D34"/>
    <w:rsid w:val="00557592"/>
    <w:rsid w:val="00564D98"/>
    <w:rsid w:val="005713C3"/>
    <w:rsid w:val="005864FA"/>
    <w:rsid w:val="00591F91"/>
    <w:rsid w:val="0059303C"/>
    <w:rsid w:val="00593696"/>
    <w:rsid w:val="00597C60"/>
    <w:rsid w:val="005A37CC"/>
    <w:rsid w:val="005A65CE"/>
    <w:rsid w:val="005C76F5"/>
    <w:rsid w:val="005D0679"/>
    <w:rsid w:val="005D0E9D"/>
    <w:rsid w:val="005D1C4D"/>
    <w:rsid w:val="005D31F5"/>
    <w:rsid w:val="005D4AFB"/>
    <w:rsid w:val="005E355A"/>
    <w:rsid w:val="005E4B0E"/>
    <w:rsid w:val="005F0DB1"/>
    <w:rsid w:val="005F61D2"/>
    <w:rsid w:val="006002B3"/>
    <w:rsid w:val="00604C31"/>
    <w:rsid w:val="0060737A"/>
    <w:rsid w:val="00607FEF"/>
    <w:rsid w:val="006265EF"/>
    <w:rsid w:val="0063047C"/>
    <w:rsid w:val="00632BA2"/>
    <w:rsid w:val="00636A5A"/>
    <w:rsid w:val="00642B65"/>
    <w:rsid w:val="00643080"/>
    <w:rsid w:val="00643C54"/>
    <w:rsid w:val="00644229"/>
    <w:rsid w:val="00651A72"/>
    <w:rsid w:val="00661C1D"/>
    <w:rsid w:val="00664409"/>
    <w:rsid w:val="0066502E"/>
    <w:rsid w:val="00665923"/>
    <w:rsid w:val="00665975"/>
    <w:rsid w:val="006664E4"/>
    <w:rsid w:val="00666AD9"/>
    <w:rsid w:val="00667D67"/>
    <w:rsid w:val="00671076"/>
    <w:rsid w:val="00673694"/>
    <w:rsid w:val="006742E2"/>
    <w:rsid w:val="00687273"/>
    <w:rsid w:val="00690729"/>
    <w:rsid w:val="0069469B"/>
    <w:rsid w:val="00694FA8"/>
    <w:rsid w:val="00695859"/>
    <w:rsid w:val="006A4C49"/>
    <w:rsid w:val="006B3BD8"/>
    <w:rsid w:val="006B5D3E"/>
    <w:rsid w:val="006B7F75"/>
    <w:rsid w:val="006C250D"/>
    <w:rsid w:val="006C76AF"/>
    <w:rsid w:val="006D07F4"/>
    <w:rsid w:val="006D7F68"/>
    <w:rsid w:val="006E039F"/>
    <w:rsid w:val="006E21F2"/>
    <w:rsid w:val="006E4058"/>
    <w:rsid w:val="006E7703"/>
    <w:rsid w:val="006E7AAE"/>
    <w:rsid w:val="006E7E1F"/>
    <w:rsid w:val="006F4F46"/>
    <w:rsid w:val="007005C9"/>
    <w:rsid w:val="00701C14"/>
    <w:rsid w:val="00702961"/>
    <w:rsid w:val="00703333"/>
    <w:rsid w:val="00706262"/>
    <w:rsid w:val="007064D9"/>
    <w:rsid w:val="00713FD6"/>
    <w:rsid w:val="00715472"/>
    <w:rsid w:val="00724DD2"/>
    <w:rsid w:val="00727A08"/>
    <w:rsid w:val="0073113F"/>
    <w:rsid w:val="00731ED2"/>
    <w:rsid w:val="00732420"/>
    <w:rsid w:val="00733A4E"/>
    <w:rsid w:val="00737A84"/>
    <w:rsid w:val="0074066D"/>
    <w:rsid w:val="00741287"/>
    <w:rsid w:val="00742880"/>
    <w:rsid w:val="00743D1A"/>
    <w:rsid w:val="00744B28"/>
    <w:rsid w:val="007454BC"/>
    <w:rsid w:val="0075203E"/>
    <w:rsid w:val="00755BC1"/>
    <w:rsid w:val="00767AD9"/>
    <w:rsid w:val="00773EEA"/>
    <w:rsid w:val="00774783"/>
    <w:rsid w:val="00777BC2"/>
    <w:rsid w:val="00777E05"/>
    <w:rsid w:val="0078614A"/>
    <w:rsid w:val="007864D1"/>
    <w:rsid w:val="00786589"/>
    <w:rsid w:val="007B1574"/>
    <w:rsid w:val="007B6AFC"/>
    <w:rsid w:val="007C17D5"/>
    <w:rsid w:val="007C6CA1"/>
    <w:rsid w:val="007C7C52"/>
    <w:rsid w:val="007D0597"/>
    <w:rsid w:val="007D1719"/>
    <w:rsid w:val="007D6A1B"/>
    <w:rsid w:val="007E1E38"/>
    <w:rsid w:val="007E273E"/>
    <w:rsid w:val="007E2FA2"/>
    <w:rsid w:val="007F2ACB"/>
    <w:rsid w:val="007F4C71"/>
    <w:rsid w:val="007F4E42"/>
    <w:rsid w:val="00803C5F"/>
    <w:rsid w:val="0080496C"/>
    <w:rsid w:val="00826AAD"/>
    <w:rsid w:val="00826EAD"/>
    <w:rsid w:val="00832C83"/>
    <w:rsid w:val="008420F7"/>
    <w:rsid w:val="0085370A"/>
    <w:rsid w:val="008539D5"/>
    <w:rsid w:val="00855ECF"/>
    <w:rsid w:val="00876ADB"/>
    <w:rsid w:val="0088647D"/>
    <w:rsid w:val="0089486B"/>
    <w:rsid w:val="008A37D8"/>
    <w:rsid w:val="008B012F"/>
    <w:rsid w:val="008B2038"/>
    <w:rsid w:val="008B7857"/>
    <w:rsid w:val="008C0437"/>
    <w:rsid w:val="008C68EE"/>
    <w:rsid w:val="008D301A"/>
    <w:rsid w:val="008D3191"/>
    <w:rsid w:val="008D3725"/>
    <w:rsid w:val="008E248F"/>
    <w:rsid w:val="008E6531"/>
    <w:rsid w:val="008F1E7D"/>
    <w:rsid w:val="0090125D"/>
    <w:rsid w:val="009077CD"/>
    <w:rsid w:val="009110F8"/>
    <w:rsid w:val="00912A65"/>
    <w:rsid w:val="00913218"/>
    <w:rsid w:val="009201DC"/>
    <w:rsid w:val="00921B5A"/>
    <w:rsid w:val="0092499C"/>
    <w:rsid w:val="00943BEC"/>
    <w:rsid w:val="00946150"/>
    <w:rsid w:val="00947D71"/>
    <w:rsid w:val="0095124E"/>
    <w:rsid w:val="00951D73"/>
    <w:rsid w:val="0095396D"/>
    <w:rsid w:val="0096169B"/>
    <w:rsid w:val="009655CC"/>
    <w:rsid w:val="00970595"/>
    <w:rsid w:val="00970808"/>
    <w:rsid w:val="009734EF"/>
    <w:rsid w:val="00981271"/>
    <w:rsid w:val="009819C9"/>
    <w:rsid w:val="00987706"/>
    <w:rsid w:val="00990C3F"/>
    <w:rsid w:val="009956D1"/>
    <w:rsid w:val="00997A4A"/>
    <w:rsid w:val="009A1FCD"/>
    <w:rsid w:val="009A3B12"/>
    <w:rsid w:val="009A6238"/>
    <w:rsid w:val="009B3373"/>
    <w:rsid w:val="009B430D"/>
    <w:rsid w:val="009C06AA"/>
    <w:rsid w:val="009C4E2D"/>
    <w:rsid w:val="009D2349"/>
    <w:rsid w:val="009D29FD"/>
    <w:rsid w:val="009D2BF3"/>
    <w:rsid w:val="009D56CF"/>
    <w:rsid w:val="009F2974"/>
    <w:rsid w:val="009F2E68"/>
    <w:rsid w:val="009F4290"/>
    <w:rsid w:val="00A05625"/>
    <w:rsid w:val="00A1771E"/>
    <w:rsid w:val="00A267F7"/>
    <w:rsid w:val="00A30E18"/>
    <w:rsid w:val="00A33E55"/>
    <w:rsid w:val="00A4005B"/>
    <w:rsid w:val="00A41524"/>
    <w:rsid w:val="00A43997"/>
    <w:rsid w:val="00A5249D"/>
    <w:rsid w:val="00A667BE"/>
    <w:rsid w:val="00A67E05"/>
    <w:rsid w:val="00A857A9"/>
    <w:rsid w:val="00A87D0F"/>
    <w:rsid w:val="00AA0B76"/>
    <w:rsid w:val="00AA0BF4"/>
    <w:rsid w:val="00AA3CA6"/>
    <w:rsid w:val="00AA3D9D"/>
    <w:rsid w:val="00AB1187"/>
    <w:rsid w:val="00AB1CE5"/>
    <w:rsid w:val="00AC2A18"/>
    <w:rsid w:val="00AC4A5A"/>
    <w:rsid w:val="00AC5412"/>
    <w:rsid w:val="00AD4A93"/>
    <w:rsid w:val="00AF17A4"/>
    <w:rsid w:val="00AF3DB6"/>
    <w:rsid w:val="00AF47FB"/>
    <w:rsid w:val="00AF7EB2"/>
    <w:rsid w:val="00B06A73"/>
    <w:rsid w:val="00B12F47"/>
    <w:rsid w:val="00B20EB1"/>
    <w:rsid w:val="00B25A26"/>
    <w:rsid w:val="00B26CE5"/>
    <w:rsid w:val="00B27CB8"/>
    <w:rsid w:val="00B3236A"/>
    <w:rsid w:val="00B33DD9"/>
    <w:rsid w:val="00B352BC"/>
    <w:rsid w:val="00B40D03"/>
    <w:rsid w:val="00B41174"/>
    <w:rsid w:val="00B4357E"/>
    <w:rsid w:val="00B4426A"/>
    <w:rsid w:val="00B47D45"/>
    <w:rsid w:val="00B47FED"/>
    <w:rsid w:val="00B501B2"/>
    <w:rsid w:val="00B544FF"/>
    <w:rsid w:val="00B6726E"/>
    <w:rsid w:val="00B71A21"/>
    <w:rsid w:val="00B7345D"/>
    <w:rsid w:val="00B749CB"/>
    <w:rsid w:val="00B762B7"/>
    <w:rsid w:val="00B76B63"/>
    <w:rsid w:val="00B810BE"/>
    <w:rsid w:val="00B823EC"/>
    <w:rsid w:val="00B8442D"/>
    <w:rsid w:val="00BA30BD"/>
    <w:rsid w:val="00BA47A5"/>
    <w:rsid w:val="00BA7143"/>
    <w:rsid w:val="00BA76F1"/>
    <w:rsid w:val="00BC178E"/>
    <w:rsid w:val="00BC1F66"/>
    <w:rsid w:val="00BC22C2"/>
    <w:rsid w:val="00BC52FB"/>
    <w:rsid w:val="00BC57B0"/>
    <w:rsid w:val="00BC5ECB"/>
    <w:rsid w:val="00BD0D34"/>
    <w:rsid w:val="00BE1E35"/>
    <w:rsid w:val="00BE3BBA"/>
    <w:rsid w:val="00BE5378"/>
    <w:rsid w:val="00BF3F75"/>
    <w:rsid w:val="00C00FB1"/>
    <w:rsid w:val="00C0125D"/>
    <w:rsid w:val="00C01844"/>
    <w:rsid w:val="00C02DF6"/>
    <w:rsid w:val="00C04E41"/>
    <w:rsid w:val="00C05A27"/>
    <w:rsid w:val="00C06691"/>
    <w:rsid w:val="00C16AC5"/>
    <w:rsid w:val="00C2190C"/>
    <w:rsid w:val="00C21C0B"/>
    <w:rsid w:val="00C223F4"/>
    <w:rsid w:val="00C23D4E"/>
    <w:rsid w:val="00C23DC5"/>
    <w:rsid w:val="00C2741D"/>
    <w:rsid w:val="00C31077"/>
    <w:rsid w:val="00C35069"/>
    <w:rsid w:val="00C36B96"/>
    <w:rsid w:val="00C37499"/>
    <w:rsid w:val="00C37F0A"/>
    <w:rsid w:val="00C4200A"/>
    <w:rsid w:val="00C45E22"/>
    <w:rsid w:val="00C50EDE"/>
    <w:rsid w:val="00C5299F"/>
    <w:rsid w:val="00C53757"/>
    <w:rsid w:val="00C5592F"/>
    <w:rsid w:val="00C62F51"/>
    <w:rsid w:val="00C63015"/>
    <w:rsid w:val="00C66505"/>
    <w:rsid w:val="00C670B9"/>
    <w:rsid w:val="00C70BFC"/>
    <w:rsid w:val="00C72149"/>
    <w:rsid w:val="00C872A6"/>
    <w:rsid w:val="00C97256"/>
    <w:rsid w:val="00CA574C"/>
    <w:rsid w:val="00CB1C09"/>
    <w:rsid w:val="00CB679A"/>
    <w:rsid w:val="00CD3DCF"/>
    <w:rsid w:val="00CF2E8A"/>
    <w:rsid w:val="00D0203D"/>
    <w:rsid w:val="00D03CA6"/>
    <w:rsid w:val="00D04C8A"/>
    <w:rsid w:val="00D15E2E"/>
    <w:rsid w:val="00D17ED3"/>
    <w:rsid w:val="00D26598"/>
    <w:rsid w:val="00D33BF1"/>
    <w:rsid w:val="00D378B5"/>
    <w:rsid w:val="00D40AB2"/>
    <w:rsid w:val="00D5299D"/>
    <w:rsid w:val="00D52E46"/>
    <w:rsid w:val="00D53A1C"/>
    <w:rsid w:val="00D70980"/>
    <w:rsid w:val="00D72F2A"/>
    <w:rsid w:val="00D75552"/>
    <w:rsid w:val="00D76067"/>
    <w:rsid w:val="00D80726"/>
    <w:rsid w:val="00D923FD"/>
    <w:rsid w:val="00D9251A"/>
    <w:rsid w:val="00D94D7F"/>
    <w:rsid w:val="00D96572"/>
    <w:rsid w:val="00DA0480"/>
    <w:rsid w:val="00DA3F7F"/>
    <w:rsid w:val="00DA7794"/>
    <w:rsid w:val="00DB5C61"/>
    <w:rsid w:val="00DB642A"/>
    <w:rsid w:val="00DC0742"/>
    <w:rsid w:val="00DC325B"/>
    <w:rsid w:val="00DD679B"/>
    <w:rsid w:val="00DD6A7C"/>
    <w:rsid w:val="00DD710F"/>
    <w:rsid w:val="00DE1F46"/>
    <w:rsid w:val="00DE4287"/>
    <w:rsid w:val="00DE49B7"/>
    <w:rsid w:val="00DE5ECF"/>
    <w:rsid w:val="00DF2C2F"/>
    <w:rsid w:val="00DF4BE5"/>
    <w:rsid w:val="00DF5765"/>
    <w:rsid w:val="00DF63B2"/>
    <w:rsid w:val="00DF64EF"/>
    <w:rsid w:val="00E00C46"/>
    <w:rsid w:val="00E0199D"/>
    <w:rsid w:val="00E04939"/>
    <w:rsid w:val="00E05CAF"/>
    <w:rsid w:val="00E06432"/>
    <w:rsid w:val="00E07951"/>
    <w:rsid w:val="00E07BDE"/>
    <w:rsid w:val="00E16A1A"/>
    <w:rsid w:val="00E21BB2"/>
    <w:rsid w:val="00E25D90"/>
    <w:rsid w:val="00E27CA2"/>
    <w:rsid w:val="00E302C9"/>
    <w:rsid w:val="00E31680"/>
    <w:rsid w:val="00E44136"/>
    <w:rsid w:val="00E563C8"/>
    <w:rsid w:val="00E60854"/>
    <w:rsid w:val="00E6218F"/>
    <w:rsid w:val="00E6677B"/>
    <w:rsid w:val="00E74E4A"/>
    <w:rsid w:val="00E76E6A"/>
    <w:rsid w:val="00E82CDC"/>
    <w:rsid w:val="00E87348"/>
    <w:rsid w:val="00E93CBD"/>
    <w:rsid w:val="00E96F11"/>
    <w:rsid w:val="00EA047D"/>
    <w:rsid w:val="00EA08A2"/>
    <w:rsid w:val="00EB0C85"/>
    <w:rsid w:val="00EB396F"/>
    <w:rsid w:val="00EB3FFF"/>
    <w:rsid w:val="00EB437D"/>
    <w:rsid w:val="00EB57C4"/>
    <w:rsid w:val="00EC0298"/>
    <w:rsid w:val="00EC04EB"/>
    <w:rsid w:val="00EC2F99"/>
    <w:rsid w:val="00EC5B0E"/>
    <w:rsid w:val="00EC7F8F"/>
    <w:rsid w:val="00ED1BED"/>
    <w:rsid w:val="00ED6F96"/>
    <w:rsid w:val="00EE07A9"/>
    <w:rsid w:val="00EE3CC4"/>
    <w:rsid w:val="00EF0E6D"/>
    <w:rsid w:val="00F24888"/>
    <w:rsid w:val="00F25C1E"/>
    <w:rsid w:val="00F25CCC"/>
    <w:rsid w:val="00F3185A"/>
    <w:rsid w:val="00F33FAB"/>
    <w:rsid w:val="00F35170"/>
    <w:rsid w:val="00F53E7A"/>
    <w:rsid w:val="00F554BB"/>
    <w:rsid w:val="00F554EA"/>
    <w:rsid w:val="00F67B4E"/>
    <w:rsid w:val="00F72CF3"/>
    <w:rsid w:val="00F7443F"/>
    <w:rsid w:val="00F87E6E"/>
    <w:rsid w:val="00F90861"/>
    <w:rsid w:val="00FA0537"/>
    <w:rsid w:val="00FA418A"/>
    <w:rsid w:val="00FB3A19"/>
    <w:rsid w:val="00FB5893"/>
    <w:rsid w:val="00FB5F70"/>
    <w:rsid w:val="00FC02D6"/>
    <w:rsid w:val="00FC0827"/>
    <w:rsid w:val="00FC3210"/>
    <w:rsid w:val="00FC39A1"/>
    <w:rsid w:val="00FD337E"/>
    <w:rsid w:val="00FD3A4E"/>
    <w:rsid w:val="00FE0833"/>
    <w:rsid w:val="00FE2072"/>
    <w:rsid w:val="00FE5E57"/>
    <w:rsid w:val="00FF1D57"/>
    <w:rsid w:val="00FF5F91"/>
    <w:rsid w:val="03C5780D"/>
    <w:rsid w:val="09CF7299"/>
    <w:rsid w:val="09D744B4"/>
    <w:rsid w:val="09D749C7"/>
    <w:rsid w:val="0AC92FC0"/>
    <w:rsid w:val="0EFA655D"/>
    <w:rsid w:val="0F957915"/>
    <w:rsid w:val="121D3BF2"/>
    <w:rsid w:val="12ED138C"/>
    <w:rsid w:val="13380DBB"/>
    <w:rsid w:val="13FA68E0"/>
    <w:rsid w:val="1405585C"/>
    <w:rsid w:val="14A30B15"/>
    <w:rsid w:val="16BD43AF"/>
    <w:rsid w:val="17CA6050"/>
    <w:rsid w:val="1944353C"/>
    <w:rsid w:val="19543AD5"/>
    <w:rsid w:val="1B7A29B3"/>
    <w:rsid w:val="1BBE5D69"/>
    <w:rsid w:val="1BD65CAD"/>
    <w:rsid w:val="1BDB198E"/>
    <w:rsid w:val="1C0E596C"/>
    <w:rsid w:val="1DE1641B"/>
    <w:rsid w:val="1E7A46C3"/>
    <w:rsid w:val="1F2C17B7"/>
    <w:rsid w:val="1F833721"/>
    <w:rsid w:val="207813E3"/>
    <w:rsid w:val="20E078B3"/>
    <w:rsid w:val="21FA5A2E"/>
    <w:rsid w:val="24FE77F3"/>
    <w:rsid w:val="2B124177"/>
    <w:rsid w:val="2B9C0FC5"/>
    <w:rsid w:val="2DCA026F"/>
    <w:rsid w:val="2E3A61F4"/>
    <w:rsid w:val="307A0735"/>
    <w:rsid w:val="34B7692C"/>
    <w:rsid w:val="36AB44F2"/>
    <w:rsid w:val="38D40BFF"/>
    <w:rsid w:val="399E2771"/>
    <w:rsid w:val="3D646567"/>
    <w:rsid w:val="3FEE7DCA"/>
    <w:rsid w:val="40646D0C"/>
    <w:rsid w:val="410945A7"/>
    <w:rsid w:val="44C10C6A"/>
    <w:rsid w:val="45B51282"/>
    <w:rsid w:val="4CC60452"/>
    <w:rsid w:val="4DB61CC2"/>
    <w:rsid w:val="4DDC065F"/>
    <w:rsid w:val="4EB73E30"/>
    <w:rsid w:val="4FB05ACA"/>
    <w:rsid w:val="506A53FA"/>
    <w:rsid w:val="50A867A1"/>
    <w:rsid w:val="52D7511B"/>
    <w:rsid w:val="53096652"/>
    <w:rsid w:val="541224FD"/>
    <w:rsid w:val="54933535"/>
    <w:rsid w:val="55E603C7"/>
    <w:rsid w:val="56374579"/>
    <w:rsid w:val="57165992"/>
    <w:rsid w:val="579D2DD8"/>
    <w:rsid w:val="57D2714E"/>
    <w:rsid w:val="57DE0994"/>
    <w:rsid w:val="581723CE"/>
    <w:rsid w:val="5D707683"/>
    <w:rsid w:val="5E6A5C9C"/>
    <w:rsid w:val="632C36E9"/>
    <w:rsid w:val="648A44BD"/>
    <w:rsid w:val="66190A40"/>
    <w:rsid w:val="67232D98"/>
    <w:rsid w:val="673F3545"/>
    <w:rsid w:val="677A7351"/>
    <w:rsid w:val="67BF6452"/>
    <w:rsid w:val="69CF6852"/>
    <w:rsid w:val="6A890F99"/>
    <w:rsid w:val="6AC76603"/>
    <w:rsid w:val="6B693E4E"/>
    <w:rsid w:val="6F0253BE"/>
    <w:rsid w:val="6F280D81"/>
    <w:rsid w:val="706933FF"/>
    <w:rsid w:val="708E59B8"/>
    <w:rsid w:val="70BF3967"/>
    <w:rsid w:val="711315BD"/>
    <w:rsid w:val="713752AB"/>
    <w:rsid w:val="71685DAD"/>
    <w:rsid w:val="72640322"/>
    <w:rsid w:val="727F21B8"/>
    <w:rsid w:val="73CA0659"/>
    <w:rsid w:val="7439171D"/>
    <w:rsid w:val="76CF44E4"/>
    <w:rsid w:val="76FC1F1B"/>
    <w:rsid w:val="773D41CF"/>
    <w:rsid w:val="7A14274D"/>
    <w:rsid w:val="7AA650D6"/>
    <w:rsid w:val="7B2F7D90"/>
    <w:rsid w:val="7CD97997"/>
    <w:rsid w:val="7CDB59C9"/>
    <w:rsid w:val="7D354FCB"/>
    <w:rsid w:val="7F517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47AB1"/>
  <w15:docId w15:val="{54CE4747-0233-445D-A133-FCA0C6A5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autoRedefine/>
    <w:qFormat/>
    <w:pPr>
      <w:widowControl w:val="0"/>
      <w:spacing w:line="360" w:lineRule="auto"/>
      <w:jc w:val="both"/>
    </w:pPr>
    <w:rPr>
      <w:rFonts w:cstheme="minorBidi"/>
      <w:kern w:val="2"/>
      <w:sz w:val="24"/>
      <w:szCs w:val="22"/>
    </w:rPr>
  </w:style>
  <w:style w:type="paragraph" w:styleId="1">
    <w:name w:val="heading 1"/>
    <w:basedOn w:val="a8"/>
    <w:next w:val="a8"/>
    <w:link w:val="10"/>
    <w:uiPriority w:val="9"/>
    <w:qFormat/>
    <w:pPr>
      <w:keepNext/>
      <w:keepLines/>
      <w:spacing w:before="340" w:after="330" w:line="578" w:lineRule="auto"/>
      <w:outlineLvl w:val="0"/>
    </w:pPr>
    <w:rPr>
      <w:b/>
      <w:bCs/>
      <w:kern w:val="44"/>
      <w:sz w:val="30"/>
      <w:szCs w:val="44"/>
    </w:rPr>
  </w:style>
  <w:style w:type="paragraph" w:styleId="2">
    <w:name w:val="heading 2"/>
    <w:basedOn w:val="a8"/>
    <w:next w:val="a8"/>
    <w:link w:val="20"/>
    <w:autoRedefine/>
    <w:uiPriority w:val="9"/>
    <w:unhideWhenUsed/>
    <w:qFormat/>
    <w:pPr>
      <w:keepNext/>
      <w:keepLines/>
      <w:spacing w:before="260" w:after="260" w:line="416" w:lineRule="auto"/>
      <w:outlineLvl w:val="1"/>
    </w:pPr>
    <w:rPr>
      <w:rFonts w:cstheme="majorBidi"/>
      <w:b/>
      <w:bCs/>
      <w:sz w:val="30"/>
      <w:szCs w:val="32"/>
    </w:rPr>
  </w:style>
  <w:style w:type="paragraph" w:styleId="3">
    <w:name w:val="heading 3"/>
    <w:basedOn w:val="a8"/>
    <w:next w:val="a8"/>
    <w:link w:val="30"/>
    <w:autoRedefine/>
    <w:uiPriority w:val="9"/>
    <w:unhideWhenUsed/>
    <w:qFormat/>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caption"/>
    <w:basedOn w:val="a8"/>
    <w:next w:val="a8"/>
    <w:autoRedefine/>
    <w:uiPriority w:val="35"/>
    <w:semiHidden/>
    <w:unhideWhenUsed/>
    <w:qFormat/>
    <w:rPr>
      <w:rFonts w:asciiTheme="majorHAnsi" w:eastAsia="黑体" w:hAnsiTheme="majorHAnsi" w:cstheme="majorBidi"/>
      <w:sz w:val="20"/>
      <w:szCs w:val="20"/>
    </w:rPr>
  </w:style>
  <w:style w:type="paragraph" w:styleId="ad">
    <w:name w:val="annotation text"/>
    <w:basedOn w:val="a8"/>
    <w:link w:val="ae"/>
    <w:autoRedefine/>
    <w:uiPriority w:val="99"/>
    <w:unhideWhenUsed/>
    <w:qFormat/>
    <w:pPr>
      <w:adjustRightInd w:val="0"/>
      <w:spacing w:line="400" w:lineRule="exact"/>
      <w:jc w:val="left"/>
    </w:pPr>
    <w:rPr>
      <w:rFonts w:ascii="Calibri" w:hAnsi="Calibri" w:cs="Times New Roman"/>
      <w:sz w:val="21"/>
      <w:szCs w:val="21"/>
    </w:rPr>
  </w:style>
  <w:style w:type="paragraph" w:styleId="af">
    <w:name w:val="Body Text"/>
    <w:basedOn w:val="a8"/>
    <w:link w:val="af0"/>
    <w:autoRedefine/>
    <w:uiPriority w:val="99"/>
    <w:semiHidden/>
    <w:unhideWhenUsed/>
    <w:qFormat/>
    <w:pPr>
      <w:spacing w:after="120"/>
    </w:pPr>
  </w:style>
  <w:style w:type="paragraph" w:styleId="af1">
    <w:name w:val="Date"/>
    <w:basedOn w:val="a8"/>
    <w:next w:val="a8"/>
    <w:link w:val="af2"/>
    <w:autoRedefine/>
    <w:uiPriority w:val="99"/>
    <w:semiHidden/>
    <w:unhideWhenUsed/>
    <w:qFormat/>
    <w:pPr>
      <w:ind w:leftChars="2500" w:left="100"/>
    </w:pPr>
  </w:style>
  <w:style w:type="paragraph" w:styleId="af3">
    <w:name w:val="Balloon Text"/>
    <w:basedOn w:val="a8"/>
    <w:link w:val="af4"/>
    <w:autoRedefine/>
    <w:uiPriority w:val="99"/>
    <w:semiHidden/>
    <w:unhideWhenUsed/>
    <w:qFormat/>
    <w:pPr>
      <w:spacing w:line="240" w:lineRule="auto"/>
    </w:pPr>
    <w:rPr>
      <w:sz w:val="18"/>
      <w:szCs w:val="18"/>
    </w:rPr>
  </w:style>
  <w:style w:type="paragraph" w:styleId="af5">
    <w:name w:val="footer"/>
    <w:basedOn w:val="a8"/>
    <w:link w:val="af6"/>
    <w:autoRedefine/>
    <w:uiPriority w:val="99"/>
    <w:unhideWhenUsed/>
    <w:qFormat/>
    <w:pPr>
      <w:tabs>
        <w:tab w:val="center" w:pos="4153"/>
        <w:tab w:val="right" w:pos="8306"/>
      </w:tabs>
      <w:snapToGrid w:val="0"/>
      <w:spacing w:line="240" w:lineRule="auto"/>
      <w:jc w:val="left"/>
    </w:pPr>
    <w:rPr>
      <w:sz w:val="18"/>
      <w:szCs w:val="18"/>
    </w:rPr>
  </w:style>
  <w:style w:type="paragraph" w:styleId="af7">
    <w:name w:val="header"/>
    <w:basedOn w:val="a8"/>
    <w:link w:val="af8"/>
    <w:autoRedefin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8"/>
    <w:next w:val="a8"/>
    <w:autoRedefine/>
    <w:uiPriority w:val="39"/>
    <w:unhideWhenUsed/>
    <w:qFormat/>
  </w:style>
  <w:style w:type="paragraph" w:styleId="TOC2">
    <w:name w:val="toc 2"/>
    <w:basedOn w:val="a8"/>
    <w:next w:val="a8"/>
    <w:autoRedefine/>
    <w:uiPriority w:val="39"/>
    <w:unhideWhenUsed/>
    <w:qFormat/>
    <w:pPr>
      <w:ind w:leftChars="200" w:left="420"/>
    </w:pPr>
  </w:style>
  <w:style w:type="paragraph" w:styleId="af9">
    <w:name w:val="Normal (Web)"/>
    <w:basedOn w:val="a8"/>
    <w:autoRedefine/>
    <w:uiPriority w:val="99"/>
    <w:unhideWhenUsed/>
    <w:qFormat/>
    <w:pPr>
      <w:widowControl/>
      <w:spacing w:before="100" w:beforeAutospacing="1" w:after="100" w:afterAutospacing="1" w:line="240" w:lineRule="auto"/>
      <w:jc w:val="left"/>
    </w:pPr>
    <w:rPr>
      <w:rFonts w:ascii="宋体" w:hAnsi="宋体" w:cs="宋体"/>
      <w:kern w:val="0"/>
      <w:szCs w:val="24"/>
    </w:rPr>
  </w:style>
  <w:style w:type="paragraph" w:styleId="afa">
    <w:name w:val="Body Text First Indent"/>
    <w:basedOn w:val="af"/>
    <w:link w:val="afb"/>
    <w:autoRedefine/>
    <w:uiPriority w:val="99"/>
    <w:semiHidden/>
    <w:unhideWhenUsed/>
    <w:qFormat/>
    <w:pPr>
      <w:ind w:firstLineChars="100" w:firstLine="420"/>
    </w:pPr>
  </w:style>
  <w:style w:type="table" w:styleId="afc">
    <w:name w:val="Table Grid"/>
    <w:basedOn w:val="aa"/>
    <w:autoRedefine/>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9"/>
    <w:uiPriority w:val="22"/>
    <w:qFormat/>
    <w:rPr>
      <w:b/>
    </w:rPr>
  </w:style>
  <w:style w:type="character" w:styleId="afe">
    <w:name w:val="Hyperlink"/>
    <w:basedOn w:val="a9"/>
    <w:autoRedefine/>
    <w:uiPriority w:val="99"/>
    <w:unhideWhenUsed/>
    <w:qFormat/>
    <w:rPr>
      <w:color w:val="0563C1" w:themeColor="hyperlink"/>
      <w:u w:val="single"/>
    </w:rPr>
  </w:style>
  <w:style w:type="character" w:styleId="aff">
    <w:name w:val="annotation reference"/>
    <w:basedOn w:val="a9"/>
    <w:autoRedefine/>
    <w:uiPriority w:val="99"/>
    <w:unhideWhenUsed/>
    <w:qFormat/>
    <w:rPr>
      <w:sz w:val="21"/>
      <w:szCs w:val="21"/>
    </w:rPr>
  </w:style>
  <w:style w:type="paragraph" w:customStyle="1" w:styleId="p1">
    <w:name w:val="p1"/>
    <w:basedOn w:val="a8"/>
    <w:autoRedefine/>
    <w:qFormat/>
    <w:pPr>
      <w:widowControl/>
      <w:spacing w:before="100" w:beforeAutospacing="1" w:after="100" w:afterAutospacing="1"/>
      <w:jc w:val="left"/>
    </w:pPr>
    <w:rPr>
      <w:rFonts w:ascii="宋体" w:hAnsi="宋体" w:cs="宋体"/>
      <w:kern w:val="0"/>
      <w:szCs w:val="24"/>
    </w:rPr>
  </w:style>
  <w:style w:type="character" w:customStyle="1" w:styleId="s1">
    <w:name w:val="s1"/>
    <w:basedOn w:val="a9"/>
    <w:autoRedefine/>
    <w:qFormat/>
  </w:style>
  <w:style w:type="paragraph" w:styleId="aff0">
    <w:name w:val="List Paragraph"/>
    <w:basedOn w:val="a8"/>
    <w:link w:val="aff1"/>
    <w:autoRedefine/>
    <w:uiPriority w:val="34"/>
    <w:qFormat/>
    <w:pPr>
      <w:ind w:firstLineChars="200" w:firstLine="420"/>
    </w:pPr>
  </w:style>
  <w:style w:type="character" w:customStyle="1" w:styleId="10">
    <w:name w:val="标题 1 字符"/>
    <w:basedOn w:val="a9"/>
    <w:link w:val="1"/>
    <w:autoRedefine/>
    <w:uiPriority w:val="9"/>
    <w:qFormat/>
    <w:rPr>
      <w:rFonts w:ascii="Times New Roman" w:eastAsia="宋体" w:hAnsi="Times New Roman"/>
      <w:b/>
      <w:bCs/>
      <w:kern w:val="44"/>
      <w:sz w:val="30"/>
      <w:szCs w:val="44"/>
    </w:rPr>
  </w:style>
  <w:style w:type="character" w:customStyle="1" w:styleId="20">
    <w:name w:val="标题 2 字符"/>
    <w:basedOn w:val="a9"/>
    <w:link w:val="2"/>
    <w:autoRedefine/>
    <w:uiPriority w:val="9"/>
    <w:qFormat/>
    <w:rPr>
      <w:rFonts w:ascii="Times New Roman" w:eastAsia="宋体" w:hAnsi="Times New Roman" w:cstheme="majorBidi"/>
      <w:b/>
      <w:bCs/>
      <w:sz w:val="30"/>
      <w:szCs w:val="32"/>
    </w:rPr>
  </w:style>
  <w:style w:type="paragraph" w:customStyle="1" w:styleId="aff2">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f2"/>
    <w:autoRedefine/>
    <w:qFormat/>
    <w:rPr>
      <w:rFonts w:ascii="宋体" w:eastAsia="宋体" w:hAnsi="Times New Roman" w:cs="Times New Roman"/>
      <w:kern w:val="0"/>
      <w:szCs w:val="20"/>
    </w:rPr>
  </w:style>
  <w:style w:type="character" w:customStyle="1" w:styleId="30">
    <w:name w:val="标题 3 字符"/>
    <w:basedOn w:val="a9"/>
    <w:link w:val="3"/>
    <w:autoRedefine/>
    <w:uiPriority w:val="9"/>
    <w:qFormat/>
    <w:rPr>
      <w:rFonts w:ascii="Times New Roman" w:eastAsia="宋体" w:hAnsi="Times New Roman"/>
      <w:b/>
      <w:bCs/>
      <w:sz w:val="32"/>
      <w:szCs w:val="32"/>
    </w:rPr>
  </w:style>
  <w:style w:type="paragraph" w:customStyle="1" w:styleId="a0">
    <w:name w:val="章标题"/>
    <w:next w:val="aff2"/>
    <w:autoRedefine/>
    <w:qFormat/>
    <w:pPr>
      <w:numPr>
        <w:numId w:val="1"/>
      </w:numPr>
      <w:spacing w:beforeLines="100" w:afterLines="100"/>
      <w:jc w:val="both"/>
      <w:outlineLvl w:val="1"/>
    </w:pPr>
    <w:rPr>
      <w:rFonts w:ascii="黑体" w:eastAsia="黑体"/>
      <w:sz w:val="21"/>
    </w:rPr>
  </w:style>
  <w:style w:type="paragraph" w:customStyle="1" w:styleId="a1">
    <w:name w:val="一级条标题"/>
    <w:next w:val="aff2"/>
    <w:autoRedefine/>
    <w:qFormat/>
    <w:pPr>
      <w:numPr>
        <w:ilvl w:val="1"/>
        <w:numId w:val="1"/>
      </w:numPr>
      <w:spacing w:beforeLines="50" w:afterLines="50"/>
      <w:outlineLvl w:val="2"/>
    </w:pPr>
    <w:rPr>
      <w:rFonts w:ascii="黑体" w:eastAsia="黑体"/>
      <w:sz w:val="21"/>
      <w:szCs w:val="21"/>
    </w:rPr>
  </w:style>
  <w:style w:type="paragraph" w:customStyle="1" w:styleId="a2">
    <w:name w:val="二级条标题"/>
    <w:basedOn w:val="a1"/>
    <w:next w:val="aff2"/>
    <w:autoRedefine/>
    <w:qFormat/>
    <w:pPr>
      <w:numPr>
        <w:ilvl w:val="2"/>
      </w:numPr>
      <w:spacing w:before="50" w:after="50"/>
      <w:outlineLvl w:val="3"/>
    </w:pPr>
  </w:style>
  <w:style w:type="paragraph" w:customStyle="1" w:styleId="aff3">
    <w:name w:val="附录图标题"/>
    <w:basedOn w:val="a8"/>
    <w:next w:val="aff2"/>
    <w:autoRedefine/>
    <w:qFormat/>
    <w:pPr>
      <w:spacing w:beforeLines="50" w:afterLines="50" w:line="240" w:lineRule="auto"/>
      <w:jc w:val="center"/>
    </w:pPr>
    <w:rPr>
      <w:rFonts w:ascii="黑体" w:eastAsia="黑体" w:cs="Times New Roman"/>
      <w:sz w:val="21"/>
      <w:szCs w:val="21"/>
    </w:rPr>
  </w:style>
  <w:style w:type="paragraph" w:customStyle="1" w:styleId="a3">
    <w:name w:val="三级条标题"/>
    <w:basedOn w:val="a2"/>
    <w:next w:val="aff2"/>
    <w:autoRedefine/>
    <w:qFormat/>
    <w:pPr>
      <w:numPr>
        <w:ilvl w:val="3"/>
      </w:numPr>
      <w:outlineLvl w:val="4"/>
    </w:pPr>
  </w:style>
  <w:style w:type="paragraph" w:customStyle="1" w:styleId="a4">
    <w:name w:val="四级条标题"/>
    <w:basedOn w:val="a3"/>
    <w:next w:val="aff2"/>
    <w:autoRedefine/>
    <w:qFormat/>
    <w:pPr>
      <w:numPr>
        <w:ilvl w:val="4"/>
      </w:numPr>
      <w:outlineLvl w:val="5"/>
    </w:pPr>
  </w:style>
  <w:style w:type="paragraph" w:customStyle="1" w:styleId="a5">
    <w:name w:val="五级条标题"/>
    <w:basedOn w:val="a4"/>
    <w:next w:val="aff2"/>
    <w:autoRedefine/>
    <w:qFormat/>
    <w:pPr>
      <w:numPr>
        <w:ilvl w:val="5"/>
      </w:numPr>
      <w:outlineLvl w:val="6"/>
    </w:pPr>
  </w:style>
  <w:style w:type="paragraph" w:customStyle="1" w:styleId="Aff4">
    <w:name w:val="正文 A"/>
    <w:autoRedefine/>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ff5">
    <w:name w:val="无"/>
    <w:autoRedefine/>
    <w:qFormat/>
  </w:style>
  <w:style w:type="paragraph" w:customStyle="1" w:styleId="aff6">
    <w:name w:val="字母编号列项（一级）"/>
    <w:autoRedefine/>
    <w:qFormat/>
    <w:pPr>
      <w:jc w:val="both"/>
    </w:pPr>
    <w:rPr>
      <w:rFonts w:ascii="宋体"/>
      <w:sz w:val="21"/>
    </w:rPr>
  </w:style>
  <w:style w:type="paragraph" w:customStyle="1" w:styleId="-">
    <w:name w:val="表格文字-居中"/>
    <w:basedOn w:val="af"/>
    <w:link w:val="-Char"/>
    <w:autoRedefine/>
    <w:qFormat/>
    <w:pPr>
      <w:keepNext/>
      <w:keepLines/>
      <w:spacing w:after="0" w:line="240" w:lineRule="auto"/>
      <w:jc w:val="center"/>
    </w:pPr>
    <w:rPr>
      <w:rFonts w:cs="Times New Roman"/>
      <w:kern w:val="0"/>
      <w:sz w:val="18"/>
      <w:szCs w:val="21"/>
    </w:rPr>
  </w:style>
  <w:style w:type="character" w:customStyle="1" w:styleId="-Char">
    <w:name w:val="表格文字-居中 Char"/>
    <w:basedOn w:val="a9"/>
    <w:link w:val="-"/>
    <w:autoRedefine/>
    <w:qFormat/>
    <w:rPr>
      <w:rFonts w:ascii="Times New Roman" w:eastAsia="宋体" w:hAnsi="Times New Roman" w:cs="Times New Roman"/>
      <w:kern w:val="0"/>
      <w:sz w:val="18"/>
      <w:szCs w:val="21"/>
    </w:rPr>
  </w:style>
  <w:style w:type="paragraph" w:customStyle="1" w:styleId="aff7">
    <w:name w:val="表题"/>
    <w:basedOn w:val="ac"/>
    <w:link w:val="Char0"/>
    <w:autoRedefine/>
    <w:qFormat/>
    <w:pPr>
      <w:keepNext/>
      <w:keepLines/>
      <w:spacing w:beforeLines="50" w:line="240" w:lineRule="auto"/>
      <w:jc w:val="center"/>
    </w:pPr>
    <w:rPr>
      <w:rFonts w:ascii="Arial" w:hAnsi="Cambria" w:cs="Times New Roman"/>
      <w:sz w:val="21"/>
      <w:szCs w:val="21"/>
    </w:rPr>
  </w:style>
  <w:style w:type="character" w:customStyle="1" w:styleId="Char0">
    <w:name w:val="表题 Char"/>
    <w:basedOn w:val="a9"/>
    <w:link w:val="aff7"/>
    <w:autoRedefine/>
    <w:qFormat/>
    <w:rPr>
      <w:rFonts w:ascii="Arial" w:eastAsia="黑体" w:hAnsi="Cambria" w:cs="Times New Roman"/>
      <w:szCs w:val="21"/>
    </w:rPr>
  </w:style>
  <w:style w:type="character" w:customStyle="1" w:styleId="af0">
    <w:name w:val="正文文本 字符"/>
    <w:basedOn w:val="a9"/>
    <w:link w:val="af"/>
    <w:autoRedefine/>
    <w:uiPriority w:val="99"/>
    <w:semiHidden/>
    <w:qFormat/>
    <w:rPr>
      <w:rFonts w:ascii="Times New Roman" w:eastAsia="宋体" w:hAnsi="Times New Roman"/>
      <w:sz w:val="24"/>
    </w:rPr>
  </w:style>
  <w:style w:type="character" w:customStyle="1" w:styleId="af8">
    <w:name w:val="页眉 字符"/>
    <w:basedOn w:val="a9"/>
    <w:link w:val="af7"/>
    <w:autoRedefine/>
    <w:uiPriority w:val="99"/>
    <w:qFormat/>
    <w:rPr>
      <w:rFonts w:ascii="Times New Roman" w:eastAsia="宋体" w:hAnsi="Times New Roman"/>
      <w:sz w:val="18"/>
      <w:szCs w:val="18"/>
    </w:rPr>
  </w:style>
  <w:style w:type="character" w:customStyle="1" w:styleId="af6">
    <w:name w:val="页脚 字符"/>
    <w:basedOn w:val="a9"/>
    <w:link w:val="af5"/>
    <w:autoRedefine/>
    <w:uiPriority w:val="99"/>
    <w:qFormat/>
    <w:rPr>
      <w:rFonts w:ascii="Times New Roman" w:eastAsia="宋体" w:hAnsi="Times New Roman"/>
      <w:sz w:val="18"/>
      <w:szCs w:val="18"/>
    </w:rPr>
  </w:style>
  <w:style w:type="paragraph" w:customStyle="1" w:styleId="aff8">
    <w:name w:val="图标题"/>
    <w:basedOn w:val="a8"/>
    <w:link w:val="aff9"/>
    <w:autoRedefine/>
    <w:qFormat/>
    <w:pPr>
      <w:adjustRightInd w:val="0"/>
      <w:snapToGrid w:val="0"/>
      <w:spacing w:line="240" w:lineRule="auto"/>
      <w:jc w:val="center"/>
    </w:pPr>
    <w:rPr>
      <w:rFonts w:ascii="Arial" w:eastAsia="黑体" w:hAnsi="Arial"/>
      <w:sz w:val="21"/>
      <w:szCs w:val="21"/>
    </w:rPr>
  </w:style>
  <w:style w:type="character" w:customStyle="1" w:styleId="aff9">
    <w:name w:val="图标题 字符"/>
    <w:basedOn w:val="a9"/>
    <w:link w:val="aff8"/>
    <w:autoRedefine/>
    <w:qFormat/>
    <w:rPr>
      <w:rFonts w:ascii="Arial" w:eastAsia="黑体" w:hAnsi="Arial"/>
      <w:szCs w:val="21"/>
    </w:rPr>
  </w:style>
  <w:style w:type="paragraph" w:customStyle="1" w:styleId="a6">
    <w:name w:val="正文标题"/>
    <w:basedOn w:val="aff0"/>
    <w:link w:val="affa"/>
    <w:autoRedefine/>
    <w:qFormat/>
    <w:pPr>
      <w:keepLines/>
      <w:numPr>
        <w:numId w:val="2"/>
      </w:numPr>
      <w:spacing w:line="480" w:lineRule="auto"/>
      <w:ind w:firstLineChars="0" w:firstLine="0"/>
      <w:outlineLvl w:val="0"/>
    </w:pPr>
    <w:rPr>
      <w:rFonts w:ascii="黑体" w:eastAsia="黑体" w:hAnsi="黑体"/>
      <w:b/>
      <w:sz w:val="21"/>
      <w:szCs w:val="21"/>
    </w:rPr>
  </w:style>
  <w:style w:type="character" w:customStyle="1" w:styleId="affa">
    <w:name w:val="正文标题 字符"/>
    <w:basedOn w:val="a9"/>
    <w:link w:val="a6"/>
    <w:autoRedefine/>
    <w:qFormat/>
    <w:rPr>
      <w:rFonts w:ascii="黑体" w:eastAsia="黑体" w:hAnsi="黑体"/>
      <w:b/>
      <w:szCs w:val="21"/>
    </w:rPr>
  </w:style>
  <w:style w:type="paragraph" w:styleId="affb">
    <w:name w:val="No Spacing"/>
    <w:basedOn w:val="a8"/>
    <w:next w:val="a8"/>
    <w:link w:val="11"/>
    <w:autoRedefine/>
    <w:uiPriority w:val="1"/>
    <w:qFormat/>
    <w:pPr>
      <w:adjustRightInd w:val="0"/>
      <w:snapToGrid w:val="0"/>
      <w:spacing w:afterLines="50" w:after="50"/>
      <w:ind w:firstLineChars="200" w:firstLine="200"/>
    </w:pPr>
  </w:style>
  <w:style w:type="character" w:customStyle="1" w:styleId="11">
    <w:name w:val="无间隔 字符1"/>
    <w:basedOn w:val="a9"/>
    <w:link w:val="affb"/>
    <w:autoRedefine/>
    <w:uiPriority w:val="1"/>
    <w:qFormat/>
    <w:rPr>
      <w:rFonts w:ascii="Times New Roman" w:eastAsia="宋体" w:hAnsi="Times New Roman"/>
      <w:sz w:val="24"/>
    </w:rPr>
  </w:style>
  <w:style w:type="character" w:customStyle="1" w:styleId="aff1">
    <w:name w:val="列表段落 字符"/>
    <w:basedOn w:val="a9"/>
    <w:link w:val="aff0"/>
    <w:autoRedefine/>
    <w:uiPriority w:val="34"/>
    <w:qFormat/>
    <w:rPr>
      <w:rFonts w:ascii="Times New Roman" w:eastAsia="宋体" w:hAnsi="Times New Roman"/>
      <w:sz w:val="24"/>
    </w:rPr>
  </w:style>
  <w:style w:type="paragraph" w:customStyle="1" w:styleId="-0">
    <w:name w:val="条文说明-更新"/>
    <w:basedOn w:val="a8"/>
    <w:link w:val="-1"/>
    <w:autoRedefine/>
    <w:qFormat/>
    <w:pPr>
      <w:adjustRightInd w:val="0"/>
      <w:snapToGrid w:val="0"/>
      <w:ind w:firstLineChars="200" w:firstLine="200"/>
    </w:pPr>
    <w:rPr>
      <w:rFonts w:ascii="华文仿宋" w:eastAsia="华文仿宋" w:hAnsi="华文仿宋" w:cs="Times New Roman"/>
      <w:sz w:val="18"/>
      <w:szCs w:val="18"/>
    </w:rPr>
  </w:style>
  <w:style w:type="character" w:customStyle="1" w:styleId="-1">
    <w:name w:val="条文说明-更新 字符"/>
    <w:basedOn w:val="a9"/>
    <w:link w:val="-0"/>
    <w:autoRedefine/>
    <w:qFormat/>
    <w:rPr>
      <w:rFonts w:ascii="华文仿宋" w:eastAsia="华文仿宋" w:hAnsi="华文仿宋" w:cs="Times New Roman"/>
      <w:sz w:val="18"/>
      <w:szCs w:val="18"/>
    </w:rPr>
  </w:style>
  <w:style w:type="table" w:customStyle="1" w:styleId="12">
    <w:name w:val="网格型1"/>
    <w:basedOn w:val="aa"/>
    <w:autoRedefine/>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正文文本首行缩进 字符"/>
    <w:basedOn w:val="af0"/>
    <w:link w:val="afa"/>
    <w:autoRedefine/>
    <w:uiPriority w:val="99"/>
    <w:semiHidden/>
    <w:qFormat/>
    <w:rPr>
      <w:rFonts w:ascii="Times New Roman" w:eastAsia="宋体" w:hAnsi="Times New Roman"/>
      <w:sz w:val="24"/>
    </w:rPr>
  </w:style>
  <w:style w:type="paragraph" w:customStyle="1" w:styleId="51">
    <w:name w:val="标题5.1"/>
    <w:basedOn w:val="a8"/>
    <w:link w:val="510"/>
    <w:autoRedefine/>
    <w:qFormat/>
    <w:pPr>
      <w:keepNext/>
      <w:keepLines/>
      <w:numPr>
        <w:numId w:val="3"/>
      </w:numPr>
      <w:spacing w:line="480" w:lineRule="auto"/>
      <w:outlineLvl w:val="1"/>
    </w:pPr>
    <w:rPr>
      <w:rFonts w:ascii="Arial" w:eastAsia="黑体" w:hAnsi="Arial"/>
      <w:b/>
      <w:bCs/>
      <w:kern w:val="44"/>
      <w:sz w:val="21"/>
      <w:szCs w:val="44"/>
    </w:rPr>
  </w:style>
  <w:style w:type="character" w:customStyle="1" w:styleId="510">
    <w:name w:val="标题5.1 字符"/>
    <w:basedOn w:val="a9"/>
    <w:link w:val="51"/>
    <w:autoRedefine/>
    <w:qFormat/>
    <w:rPr>
      <w:rFonts w:ascii="Arial" w:eastAsia="黑体" w:hAnsi="Arial"/>
      <w:b/>
      <w:bCs/>
      <w:kern w:val="44"/>
      <w:szCs w:val="44"/>
    </w:rPr>
  </w:style>
  <w:style w:type="paragraph" w:customStyle="1" w:styleId="-10">
    <w:name w:val="表题-1"/>
    <w:basedOn w:val="ac"/>
    <w:link w:val="-11"/>
    <w:autoRedefine/>
    <w:qFormat/>
    <w:pPr>
      <w:adjustRightInd w:val="0"/>
      <w:snapToGrid w:val="0"/>
      <w:spacing w:beforeLines="50" w:before="50" w:line="240" w:lineRule="auto"/>
      <w:jc w:val="center"/>
    </w:pPr>
    <w:rPr>
      <w:sz w:val="21"/>
    </w:rPr>
  </w:style>
  <w:style w:type="character" w:customStyle="1" w:styleId="-11">
    <w:name w:val="表题-1 字符"/>
    <w:basedOn w:val="a9"/>
    <w:link w:val="-10"/>
    <w:autoRedefine/>
    <w:qFormat/>
    <w:rPr>
      <w:rFonts w:asciiTheme="majorHAnsi" w:eastAsia="黑体" w:hAnsiTheme="majorHAnsi" w:cstheme="majorBidi"/>
      <w:szCs w:val="20"/>
    </w:rPr>
  </w:style>
  <w:style w:type="character" w:customStyle="1" w:styleId="af2">
    <w:name w:val="日期 字符"/>
    <w:basedOn w:val="a9"/>
    <w:link w:val="af1"/>
    <w:autoRedefine/>
    <w:uiPriority w:val="99"/>
    <w:semiHidden/>
    <w:qFormat/>
    <w:rPr>
      <w:rFonts w:ascii="Times New Roman" w:eastAsia="宋体" w:hAnsi="Times New Roman"/>
      <w:sz w:val="24"/>
    </w:rPr>
  </w:style>
  <w:style w:type="character" w:customStyle="1" w:styleId="af4">
    <w:name w:val="批注框文本 字符"/>
    <w:basedOn w:val="a9"/>
    <w:link w:val="af3"/>
    <w:autoRedefine/>
    <w:uiPriority w:val="99"/>
    <w:semiHidden/>
    <w:qFormat/>
    <w:rPr>
      <w:rFonts w:ascii="Times New Roman" w:eastAsia="宋体" w:hAnsi="Times New Roman"/>
      <w:sz w:val="18"/>
      <w:szCs w:val="18"/>
    </w:rPr>
  </w:style>
  <w:style w:type="character" w:customStyle="1" w:styleId="ae">
    <w:name w:val="批注文字 字符"/>
    <w:basedOn w:val="a9"/>
    <w:link w:val="ad"/>
    <w:autoRedefine/>
    <w:uiPriority w:val="99"/>
    <w:qFormat/>
    <w:rPr>
      <w:rFonts w:ascii="Calibri" w:eastAsia="宋体" w:hAnsi="Calibri" w:cs="Times New Roman"/>
      <w:szCs w:val="21"/>
    </w:rPr>
  </w:style>
  <w:style w:type="paragraph" w:customStyle="1" w:styleId="a7">
    <w:name w:val="标准文件_正文表标题"/>
    <w:next w:val="a8"/>
    <w:autoRedefine/>
    <w:qFormat/>
    <w:pPr>
      <w:numPr>
        <w:numId w:val="4"/>
      </w:numPr>
      <w:tabs>
        <w:tab w:val="left" w:pos="0"/>
      </w:tabs>
      <w:spacing w:beforeLines="50" w:before="50" w:afterLines="50" w:after="50"/>
      <w:jc w:val="center"/>
    </w:pPr>
    <w:rPr>
      <w:rFonts w:ascii="黑体" w:eastAsia="黑体"/>
      <w:sz w:val="21"/>
    </w:rPr>
  </w:style>
  <w:style w:type="paragraph" w:customStyle="1" w:styleId="a">
    <w:name w:val="标准文件_注×："/>
    <w:autoRedefine/>
    <w:qFormat/>
    <w:pPr>
      <w:widowControl w:val="0"/>
      <w:numPr>
        <w:numId w:val="5"/>
      </w:numPr>
      <w:autoSpaceDE w:val="0"/>
      <w:autoSpaceDN w:val="0"/>
      <w:jc w:val="both"/>
    </w:pPr>
    <w:rPr>
      <w:rFonts w:ascii="宋体"/>
      <w:sz w:val="18"/>
      <w:szCs w:val="18"/>
    </w:rPr>
  </w:style>
  <w:style w:type="paragraph" w:customStyle="1" w:styleId="13">
    <w:name w:val="无间隔1"/>
    <w:basedOn w:val="a8"/>
    <w:next w:val="a8"/>
    <w:link w:val="affc"/>
    <w:autoRedefine/>
    <w:uiPriority w:val="1"/>
    <w:qFormat/>
    <w:pPr>
      <w:adjustRightInd w:val="0"/>
      <w:snapToGrid w:val="0"/>
      <w:spacing w:afterLines="50" w:after="50"/>
      <w:ind w:firstLineChars="200" w:firstLine="200"/>
    </w:pPr>
  </w:style>
  <w:style w:type="character" w:customStyle="1" w:styleId="affc">
    <w:name w:val="无间隔 字符"/>
    <w:basedOn w:val="a9"/>
    <w:link w:val="13"/>
    <w:autoRedefine/>
    <w:uiPriority w:val="1"/>
    <w:qFormat/>
    <w:rPr>
      <w:rFonts w:ascii="Times New Roman" w:eastAsia="宋体" w:hAnsi="Times New Roman"/>
      <w:sz w:val="24"/>
    </w:rPr>
  </w:style>
  <w:style w:type="paragraph" w:customStyle="1" w:styleId="affd">
    <w:name w:val="标准文件_段"/>
    <w:link w:val="Char1"/>
    <w:autoRedefine/>
    <w:qFormat/>
    <w:rsid w:val="00A267F7"/>
    <w:pPr>
      <w:autoSpaceDE w:val="0"/>
      <w:autoSpaceDN w:val="0"/>
      <w:ind w:firstLineChars="200" w:firstLine="200"/>
      <w:jc w:val="both"/>
    </w:pPr>
    <w:rPr>
      <w:rFonts w:ascii="宋体"/>
      <w:sz w:val="21"/>
    </w:rPr>
  </w:style>
  <w:style w:type="character" w:customStyle="1" w:styleId="Char1">
    <w:name w:val="标准文件_段 Char"/>
    <w:link w:val="affd"/>
    <w:autoRedefine/>
    <w:qFormat/>
    <w:rsid w:val="00A267F7"/>
    <w:rPr>
      <w:rFonts w:ascii="宋体"/>
      <w:sz w:val="21"/>
    </w:rPr>
  </w:style>
  <w:style w:type="paragraph" w:styleId="affe">
    <w:name w:val="annotation subject"/>
    <w:basedOn w:val="ad"/>
    <w:next w:val="ad"/>
    <w:link w:val="afff"/>
    <w:uiPriority w:val="99"/>
    <w:semiHidden/>
    <w:unhideWhenUsed/>
    <w:rsid w:val="00DD710F"/>
    <w:pPr>
      <w:adjustRightInd/>
      <w:spacing w:line="360" w:lineRule="auto"/>
    </w:pPr>
    <w:rPr>
      <w:rFonts w:ascii="Times New Roman" w:hAnsi="Times New Roman" w:cstheme="minorBidi"/>
      <w:b/>
      <w:bCs/>
      <w:sz w:val="24"/>
      <w:szCs w:val="22"/>
    </w:rPr>
  </w:style>
  <w:style w:type="character" w:customStyle="1" w:styleId="afff">
    <w:name w:val="批注主题 字符"/>
    <w:basedOn w:val="ae"/>
    <w:link w:val="affe"/>
    <w:uiPriority w:val="99"/>
    <w:semiHidden/>
    <w:rsid w:val="00DD710F"/>
    <w:rPr>
      <w:rFonts w:ascii="Calibri" w:eastAsia="宋体" w:hAnsi="Calibri" w:cstheme="minorBidi"/>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480205">
      <w:bodyDiv w:val="1"/>
      <w:marLeft w:val="0"/>
      <w:marRight w:val="0"/>
      <w:marTop w:val="0"/>
      <w:marBottom w:val="0"/>
      <w:divBdr>
        <w:top w:val="none" w:sz="0" w:space="0" w:color="auto"/>
        <w:left w:val="none" w:sz="0" w:space="0" w:color="auto"/>
        <w:bottom w:val="none" w:sz="0" w:space="0" w:color="auto"/>
        <w:right w:val="none" w:sz="0" w:space="0" w:color="auto"/>
      </w:divBdr>
      <w:divsChild>
        <w:div w:id="596182588">
          <w:marLeft w:val="0"/>
          <w:marRight w:val="0"/>
          <w:marTop w:val="0"/>
          <w:marBottom w:val="0"/>
          <w:divBdr>
            <w:top w:val="none" w:sz="0" w:space="0" w:color="auto"/>
            <w:left w:val="none" w:sz="0" w:space="0" w:color="auto"/>
            <w:bottom w:val="none" w:sz="0" w:space="0" w:color="auto"/>
            <w:right w:val="none" w:sz="0" w:space="0" w:color="auto"/>
          </w:divBdr>
        </w:div>
      </w:divsChild>
    </w:div>
    <w:div w:id="1874684013">
      <w:bodyDiv w:val="1"/>
      <w:marLeft w:val="0"/>
      <w:marRight w:val="0"/>
      <w:marTop w:val="0"/>
      <w:marBottom w:val="0"/>
      <w:divBdr>
        <w:top w:val="none" w:sz="0" w:space="0" w:color="auto"/>
        <w:left w:val="none" w:sz="0" w:space="0" w:color="auto"/>
        <w:bottom w:val="none" w:sz="0" w:space="0" w:color="auto"/>
        <w:right w:val="none" w:sz="0" w:space="0" w:color="auto"/>
      </w:divBdr>
      <w:divsChild>
        <w:div w:id="3771213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1117</Words>
  <Characters>6372</Characters>
  <Application>Microsoft Office Word</Application>
  <DocSecurity>0</DocSecurity>
  <Lines>53</Lines>
  <Paragraphs>14</Paragraphs>
  <ScaleCrop>false</ScaleCrop>
  <Company>Microsoft</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陈春雷</dc:creator>
  <cp:lastModifiedBy>明融 庄</cp:lastModifiedBy>
  <cp:revision>212</cp:revision>
  <dcterms:created xsi:type="dcterms:W3CDTF">2022-07-09T08:38:00Z</dcterms:created>
  <dcterms:modified xsi:type="dcterms:W3CDTF">2025-01-06T02:35:00Z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7D5E1EF80C634E9EA349C755B2486479_12</vt:lpwstr>
  </property>
</Properties>
</file>