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5F43B7">
      <w:pPr>
        <w:spacing w:line="720" w:lineRule="exact"/>
        <w:jc w:val="center"/>
        <w:rPr>
          <w:rFonts w:hint="default" w:ascii="方正小标宋简体" w:hAnsi="华文中宋" w:eastAsia="方正小标宋简体" w:cs="Times New Roman"/>
          <w:bCs/>
          <w:sz w:val="44"/>
          <w:szCs w:val="44"/>
          <w:lang w:val="en-US" w:eastAsia="zh-CN"/>
        </w:rPr>
      </w:pPr>
      <w:r>
        <w:rPr>
          <w:rFonts w:hint="eastAsia" w:ascii="方正小标宋简体" w:hAnsi="华文中宋" w:eastAsia="方正小标宋简体" w:cs="华文中宋"/>
          <w:bCs/>
          <w:sz w:val="44"/>
          <w:szCs w:val="44"/>
        </w:rPr>
        <w:t>琼州海峡轮渡运输202</w:t>
      </w:r>
      <w:r>
        <w:rPr>
          <w:rFonts w:hint="eastAsia" w:ascii="方正小标宋简体" w:hAnsi="华文中宋" w:eastAsia="方正小标宋简体" w:cs="华文中宋"/>
          <w:bCs/>
          <w:sz w:val="44"/>
          <w:szCs w:val="44"/>
          <w:lang w:val="en-US" w:eastAsia="zh-CN"/>
        </w:rPr>
        <w:t>5</w:t>
      </w:r>
      <w:r>
        <w:rPr>
          <w:rFonts w:hint="eastAsia" w:ascii="方正小标宋简体" w:hAnsi="华文中宋" w:eastAsia="方正小标宋简体" w:cs="华文中宋"/>
          <w:bCs/>
          <w:sz w:val="44"/>
          <w:szCs w:val="44"/>
        </w:rPr>
        <w:t>年</w:t>
      </w:r>
      <w:r>
        <w:rPr>
          <w:rFonts w:hint="eastAsia" w:ascii="方正小标宋简体" w:hAnsi="华文中宋" w:eastAsia="方正小标宋简体" w:cs="华文中宋"/>
          <w:bCs/>
          <w:sz w:val="44"/>
          <w:szCs w:val="44"/>
          <w:lang w:val="en-US" w:eastAsia="zh-CN"/>
        </w:rPr>
        <w:t>4月份</w:t>
      </w:r>
    </w:p>
    <w:p w14:paraId="43141A3E">
      <w:pPr>
        <w:spacing w:line="720" w:lineRule="exact"/>
        <w:jc w:val="center"/>
        <w:rPr>
          <w:rFonts w:ascii="方正小标宋简体" w:hAnsi="华文中宋" w:eastAsia="方正小标宋简体" w:cs="Times New Roman"/>
          <w:bCs/>
          <w:sz w:val="44"/>
          <w:szCs w:val="44"/>
        </w:rPr>
      </w:pPr>
      <w:r>
        <w:rPr>
          <w:rFonts w:hint="eastAsia" w:ascii="方正小标宋简体" w:hAnsi="华文中宋" w:eastAsia="方正小标宋简体" w:cs="华文中宋"/>
          <w:bCs/>
          <w:sz w:val="44"/>
          <w:szCs w:val="44"/>
        </w:rPr>
        <w:t>情况小结</w:t>
      </w:r>
    </w:p>
    <w:p w14:paraId="4EC479DB">
      <w:pPr>
        <w:jc w:val="center"/>
        <w:rPr>
          <w:rFonts w:ascii="仿宋" w:hAnsi="仿宋" w:eastAsia="仿宋" w:cs="Times New Roman"/>
          <w:bCs/>
          <w:sz w:val="32"/>
          <w:szCs w:val="32"/>
        </w:rPr>
      </w:pPr>
    </w:p>
    <w:p w14:paraId="50FB32E4">
      <w:pPr>
        <w:ind w:firstLine="640" w:firstLineChars="200"/>
        <w:rPr>
          <w:rFonts w:ascii="黑体" w:hAnsi="黑体" w:eastAsia="黑体" w:cs="仿宋_GB2312"/>
          <w:bCs/>
          <w:kern w:val="0"/>
          <w:sz w:val="32"/>
          <w:szCs w:val="32"/>
        </w:rPr>
      </w:pPr>
      <w:r>
        <w:rPr>
          <w:rFonts w:hint="eastAsia" w:ascii="黑体" w:hAnsi="黑体" w:eastAsia="黑体" w:cs="仿宋_GB2312"/>
          <w:bCs/>
          <w:kern w:val="0"/>
          <w:sz w:val="32"/>
          <w:szCs w:val="32"/>
        </w:rPr>
        <w:t>一、</w:t>
      </w:r>
      <w:r>
        <w:rPr>
          <w:rFonts w:hint="eastAsia" w:ascii="黑体" w:hAnsi="黑体" w:eastAsia="黑体" w:cs="仿宋_GB2312"/>
          <w:bCs/>
          <w:kern w:val="0"/>
          <w:sz w:val="32"/>
          <w:szCs w:val="32"/>
          <w:lang w:val="en-US" w:eastAsia="zh-CN"/>
        </w:rPr>
        <w:t>第一季度</w:t>
      </w:r>
      <w:r>
        <w:rPr>
          <w:rFonts w:hint="eastAsia" w:ascii="黑体" w:hAnsi="黑体" w:eastAsia="黑体" w:cs="仿宋_GB2312"/>
          <w:bCs/>
          <w:kern w:val="0"/>
          <w:sz w:val="32"/>
          <w:szCs w:val="32"/>
        </w:rPr>
        <w:t>轮渡运输航线运输概况</w:t>
      </w:r>
    </w:p>
    <w:p w14:paraId="0C0C00CF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</w:rPr>
      </w:pPr>
      <w:bookmarkStart w:id="0" w:name="_GoBack"/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  <w:lang w:eastAsia="zh-CN"/>
        </w:rPr>
        <w:t>（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一）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</w:rPr>
        <w:t>进出岛客流量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159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</w:rPr>
        <w:t>万人次，同比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减少4.1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</w:rPr>
        <w:t>%。进岛客流量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67.7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</w:rPr>
        <w:t>万人次，同比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减少7.3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</w:rPr>
        <w:t>%；出岛客流量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91.3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</w:rPr>
        <w:t>万人次，同比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减少1.6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</w:rPr>
        <w:t>%。</w:t>
      </w:r>
    </w:p>
    <w:p w14:paraId="4FD8B0DA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  <w:lang w:eastAsia="zh-CN"/>
        </w:rPr>
        <w:t>（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二）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</w:rPr>
        <w:t>进出岛车流量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49.4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</w:rPr>
        <w:t>万台次，同比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减少6.1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</w:rPr>
        <w:t>%。进岛车流量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22.8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</w:rPr>
        <w:t>万台次，同比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减少7.9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</w:rPr>
        <w:t>%；出岛车流量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26.6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</w:rPr>
        <w:t>万台次，同比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减少4.4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</w:rPr>
        <w:t>%。</w:t>
      </w:r>
    </w:p>
    <w:p w14:paraId="3B90B7AB">
      <w:pPr>
        <w:keepNext w:val="0"/>
        <w:keepLines w:val="0"/>
        <w:pageBreakBefore w:val="0"/>
        <w:widowControl/>
        <w:numPr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  <w:lang w:eastAsia="zh-CN"/>
        </w:rPr>
        <w:t>（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三）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</w:rPr>
        <w:t>进出岛实航（含危险品）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7446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</w:rPr>
        <w:t>次，同比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减少5.1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</w:rPr>
        <w:t>%。进岛实航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3612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</w:rPr>
        <w:t>航次，同比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减少4.9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</w:rPr>
        <w:t>%；出岛实航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3834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</w:rPr>
        <w:t>航次，同比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减少5.3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</w:rPr>
        <w:t>%。</w:t>
      </w:r>
    </w:p>
    <w:p w14:paraId="3939DA9A">
      <w:pPr>
        <w:keepNext w:val="0"/>
        <w:keepLines w:val="0"/>
        <w:pageBreakBefore w:val="0"/>
        <w:widowControl/>
        <w:numPr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  <w:lang w:eastAsia="zh-CN"/>
        </w:rPr>
        <w:t>（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四）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</w:rPr>
        <w:t>进出岛载重量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971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</w:rPr>
        <w:t>万吨，同比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val="en-US" w:eastAsia="zh-CN"/>
        </w:rPr>
        <w:t>减少10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</w:rPr>
        <w:t>%。进岛载重量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val="en-US" w:eastAsia="zh-CN"/>
        </w:rPr>
        <w:t>563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</w:rPr>
        <w:t>万吨,同比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val="en-US" w:eastAsia="zh-CN"/>
        </w:rPr>
        <w:t>减少7.8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</w:rPr>
        <w:t>%；出岛载重量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val="en-US" w:eastAsia="zh-CN"/>
        </w:rPr>
        <w:t>408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</w:rPr>
        <w:t>万吨，同比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val="en-US" w:eastAsia="zh-CN"/>
        </w:rPr>
        <w:t>减少12.8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</w:rPr>
        <w:t>%。（以上详见附件1）</w:t>
      </w:r>
    </w:p>
    <w:p w14:paraId="0C47EA7C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ascii="宋体" w:hAnsi="宋体" w:cs="宋体"/>
          <w:color w:val="000000"/>
          <w:sz w:val="18"/>
          <w:szCs w:val="18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  <w:lang w:eastAsia="zh-CN"/>
        </w:rPr>
        <w:t>（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五）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</w:rPr>
        <w:t>进出岛空航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406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</w:rPr>
        <w:t>航次，同比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增加19.4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</w:rPr>
        <w:t>%。进岛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337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</w:rPr>
        <w:t>航次，同比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增加7.3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</w:rPr>
        <w:t>%；出岛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69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</w:rPr>
        <w:t>航次，同比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增加165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</w:rPr>
        <w:t>%。</w:t>
      </w:r>
    </w:p>
    <w:p w14:paraId="1FC511A9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ascii="Times New Roman" w:hAnsi="Times New Roman"/>
          <w:color w:val="000000"/>
          <w:kern w:val="0"/>
          <w:sz w:val="14"/>
          <w:szCs w:val="14"/>
          <w:shd w:val="clear" w:color="auto" w:fill="FFFFFF"/>
        </w:rPr>
      </w:pPr>
      <w:r>
        <w:rPr>
          <w:rFonts w:hint="eastAsia" w:ascii="仿宋_GB2312" w:hAnsi="Times New Roman" w:eastAsia="仿宋_GB2312"/>
          <w:color w:val="000000"/>
          <w:kern w:val="0"/>
          <w:sz w:val="32"/>
          <w:szCs w:val="32"/>
          <w:shd w:val="clear" w:color="auto" w:fill="FFFFFF"/>
          <w:lang w:eastAsia="zh-CN"/>
        </w:rPr>
        <w:t>（</w:t>
      </w:r>
      <w:r>
        <w:rPr>
          <w:rFonts w:hint="eastAsia" w:ascii="仿宋_GB2312" w:hAnsi="Times New Roman" w:eastAsia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六）</w:t>
      </w:r>
      <w:r>
        <w:rPr>
          <w:rFonts w:hint="eastAsia" w:ascii="仿宋_GB2312" w:hAnsi="Times New Roman" w:eastAsia="仿宋_GB2312"/>
          <w:color w:val="000000"/>
          <w:kern w:val="0"/>
          <w:sz w:val="32"/>
          <w:szCs w:val="32"/>
          <w:shd w:val="clear" w:color="auto" w:fill="FFFFFF"/>
        </w:rPr>
        <w:t>危险品运输情况</w:t>
      </w:r>
    </w:p>
    <w:p w14:paraId="2215C695">
      <w:pPr>
        <w:pStyle w:val="8"/>
        <w:keepNext w:val="0"/>
        <w:keepLines w:val="0"/>
        <w:pageBreakBefore w:val="0"/>
        <w:widowControl/>
        <w:numPr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ascii="仿宋_GB2312" w:hAnsi="黑体" w:eastAsia="仿宋_GB2312" w:cs="仿宋_GB2312"/>
          <w:kern w:val="0"/>
          <w:sz w:val="32"/>
          <w:szCs w:val="32"/>
          <w:highlight w:val="none"/>
          <w:shd w:val="clear" w:color="auto" w:fill="FFFFFF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</w:rPr>
        <w:t>进出岛危险品航班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73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</w:rPr>
        <w:t>航次，同比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增加14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</w:rPr>
        <w:t>%。进岛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41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</w:rPr>
        <w:t>航次，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同比增加13.9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</w:rPr>
        <w:t>%;出岛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val="en-US" w:eastAsia="zh-CN"/>
        </w:rPr>
        <w:t>32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</w:rPr>
        <w:t>航次,同比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val="en-US" w:eastAsia="zh-CN"/>
        </w:rPr>
        <w:t>增加14.3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</w:rPr>
        <w:t>%。</w:t>
      </w:r>
    </w:p>
    <w:p w14:paraId="657AAC1E">
      <w:pPr>
        <w:pStyle w:val="8"/>
        <w:keepNext w:val="0"/>
        <w:keepLines w:val="0"/>
        <w:pageBreakBefore w:val="0"/>
        <w:widowControl/>
        <w:numPr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ascii="仿宋_GB2312" w:hAnsi="黑体" w:eastAsia="仿宋_GB2312" w:cs="仿宋_GB2312"/>
          <w:kern w:val="0"/>
          <w:sz w:val="32"/>
          <w:szCs w:val="32"/>
          <w:highlight w:val="none"/>
          <w:shd w:val="clear" w:color="auto" w:fill="FFFFFF"/>
        </w:rPr>
      </w:pPr>
      <w:r>
        <w:rPr>
          <w:rFonts w:hint="eastAsia" w:ascii="仿宋_GB2312" w:eastAsia="仿宋_GB2312"/>
          <w:kern w:val="0"/>
          <w:sz w:val="32"/>
          <w:szCs w:val="32"/>
          <w:highlight w:val="none"/>
          <w:shd w:val="clear" w:color="auto" w:fill="FFFFFF"/>
        </w:rPr>
        <w:t>进出岛危险品载重量</w:t>
      </w:r>
      <w:r>
        <w:rPr>
          <w:rFonts w:hint="eastAsia" w:ascii="仿宋_GB2312" w:eastAsia="仿宋_GB2312"/>
          <w:kern w:val="0"/>
          <w:sz w:val="32"/>
          <w:szCs w:val="32"/>
          <w:highlight w:val="none"/>
          <w:shd w:val="clear" w:color="auto" w:fill="FFFFFF"/>
          <w:lang w:val="en-US" w:eastAsia="zh-CN"/>
        </w:rPr>
        <w:t>6</w:t>
      </w:r>
      <w:r>
        <w:rPr>
          <w:rFonts w:hint="eastAsia" w:ascii="仿宋_GB2312" w:eastAsia="仿宋_GB2312"/>
          <w:kern w:val="0"/>
          <w:sz w:val="32"/>
          <w:szCs w:val="32"/>
          <w:highlight w:val="none"/>
          <w:shd w:val="clear" w:color="auto" w:fill="FFFFFF"/>
        </w:rPr>
        <w:t>万吨,同比</w:t>
      </w:r>
      <w:r>
        <w:rPr>
          <w:rFonts w:hint="eastAsia" w:ascii="仿宋_GB2312" w:eastAsia="仿宋_GB2312"/>
          <w:kern w:val="0"/>
          <w:sz w:val="32"/>
          <w:szCs w:val="32"/>
          <w:highlight w:val="none"/>
          <w:shd w:val="clear" w:color="auto" w:fill="FFFFFF"/>
          <w:lang w:val="en-US" w:eastAsia="zh-CN"/>
        </w:rPr>
        <w:t>减少12</w:t>
      </w:r>
      <w:r>
        <w:rPr>
          <w:rFonts w:hint="eastAsia" w:ascii="仿宋_GB2312" w:eastAsia="仿宋_GB2312"/>
          <w:kern w:val="0"/>
          <w:sz w:val="32"/>
          <w:szCs w:val="32"/>
          <w:highlight w:val="none"/>
          <w:shd w:val="clear" w:color="auto" w:fill="FFFFFF"/>
        </w:rPr>
        <w:t>%;进岛</w:t>
      </w:r>
      <w:r>
        <w:rPr>
          <w:rFonts w:hint="eastAsia" w:ascii="仿宋_GB2312" w:eastAsia="仿宋_GB2312"/>
          <w:kern w:val="0"/>
          <w:sz w:val="32"/>
          <w:szCs w:val="32"/>
          <w:highlight w:val="none"/>
          <w:shd w:val="clear" w:color="auto" w:fill="FFFFFF"/>
          <w:lang w:val="en-US" w:eastAsia="zh-CN"/>
        </w:rPr>
        <w:t>3.6</w:t>
      </w:r>
      <w:r>
        <w:rPr>
          <w:rFonts w:hint="eastAsia" w:ascii="仿宋_GB2312" w:eastAsia="仿宋_GB2312"/>
          <w:kern w:val="0"/>
          <w:sz w:val="32"/>
          <w:szCs w:val="32"/>
          <w:highlight w:val="none"/>
          <w:shd w:val="clear" w:color="auto" w:fill="FFFFFF"/>
        </w:rPr>
        <w:t>万吨,同</w:t>
      </w:r>
      <w:r>
        <w:rPr>
          <w:rFonts w:hint="eastAsia" w:ascii="仿宋_GB2312" w:eastAsia="仿宋_GB2312"/>
          <w:kern w:val="0"/>
          <w:sz w:val="32"/>
          <w:szCs w:val="32"/>
          <w:highlight w:val="none"/>
          <w:shd w:val="clear" w:color="auto" w:fill="FFFFFF"/>
          <w:lang w:val="en-US" w:eastAsia="zh-CN"/>
        </w:rPr>
        <w:t>比减少2</w:t>
      </w:r>
      <w:r>
        <w:rPr>
          <w:rFonts w:hint="eastAsia" w:ascii="仿宋_GB2312" w:eastAsia="仿宋_GB2312"/>
          <w:kern w:val="0"/>
          <w:sz w:val="32"/>
          <w:szCs w:val="32"/>
          <w:highlight w:val="none"/>
          <w:shd w:val="clear" w:color="auto" w:fill="FFFFFF"/>
        </w:rPr>
        <w:t>%;出岛</w:t>
      </w:r>
      <w:r>
        <w:rPr>
          <w:rFonts w:hint="eastAsia" w:ascii="仿宋_GB2312" w:eastAsia="仿宋_GB2312"/>
          <w:kern w:val="0"/>
          <w:sz w:val="32"/>
          <w:szCs w:val="32"/>
          <w:highlight w:val="none"/>
          <w:shd w:val="clear" w:color="auto" w:fill="FFFFFF"/>
          <w:lang w:val="en-US" w:eastAsia="zh-CN"/>
        </w:rPr>
        <w:t>2.4</w:t>
      </w:r>
      <w:r>
        <w:rPr>
          <w:rFonts w:hint="eastAsia" w:ascii="仿宋_GB2312" w:eastAsia="仿宋_GB2312"/>
          <w:kern w:val="0"/>
          <w:sz w:val="32"/>
          <w:szCs w:val="32"/>
          <w:highlight w:val="none"/>
          <w:shd w:val="clear" w:color="auto" w:fill="FFFFFF"/>
        </w:rPr>
        <w:t>万吨,同</w:t>
      </w:r>
      <w:r>
        <w:rPr>
          <w:rFonts w:hint="eastAsia" w:ascii="仿宋_GB2312" w:eastAsia="仿宋_GB2312"/>
          <w:kern w:val="0"/>
          <w:sz w:val="32"/>
          <w:szCs w:val="32"/>
          <w:highlight w:val="none"/>
          <w:shd w:val="clear" w:color="auto" w:fill="FFFFFF"/>
          <w:lang w:val="en-US" w:eastAsia="zh-CN"/>
        </w:rPr>
        <w:t>比减少24</w:t>
      </w:r>
      <w:r>
        <w:rPr>
          <w:rFonts w:hint="eastAsia" w:ascii="仿宋_GB2312" w:eastAsia="仿宋_GB2312"/>
          <w:kern w:val="0"/>
          <w:sz w:val="32"/>
          <w:szCs w:val="32"/>
          <w:highlight w:val="none"/>
          <w:shd w:val="clear" w:color="auto" w:fill="FFFFFF"/>
        </w:rPr>
        <w:t>%。</w:t>
      </w:r>
    </w:p>
    <w:bookmarkEnd w:id="0"/>
    <w:p w14:paraId="6FD838F2">
      <w:pPr>
        <w:widowControl/>
        <w:shd w:val="clear" w:color="auto" w:fill="FFFFFF"/>
        <w:jc w:val="center"/>
        <w:rPr>
          <w:rFonts w:hint="eastAsia" w:ascii="仿宋_GB2312" w:hAnsi="宋体" w:eastAsia="仿宋_GB2312" w:cs="仿宋_GB2312"/>
          <w:kern w:val="0"/>
          <w:sz w:val="32"/>
          <w:szCs w:val="32"/>
          <w:shd w:val="clear" w:color="auto" w:fill="FFFFFF"/>
        </w:rPr>
      </w:pPr>
    </w:p>
    <w:p w14:paraId="52B6A818">
      <w:pPr>
        <w:widowControl/>
        <w:shd w:val="clear" w:color="auto" w:fill="FFFFFF"/>
        <w:jc w:val="center"/>
        <w:rPr>
          <w:rFonts w:hint="eastAsia" w:ascii="仿宋_GB2312" w:hAnsi="宋体" w:eastAsia="仿宋_GB2312" w:cs="仿宋_GB2312"/>
          <w:kern w:val="0"/>
          <w:sz w:val="32"/>
          <w:szCs w:val="32"/>
          <w:shd w:val="clear" w:color="auto" w:fill="FFFFFF"/>
        </w:rPr>
      </w:pPr>
    </w:p>
    <w:p w14:paraId="320F1301">
      <w:pPr>
        <w:widowControl/>
        <w:shd w:val="clear" w:color="auto" w:fill="FFFFFF"/>
        <w:jc w:val="center"/>
        <w:rPr>
          <w:rFonts w:hint="eastAsia" w:ascii="仿宋_GB2312" w:hAnsi="宋体" w:eastAsia="仿宋_GB2312" w:cs="仿宋_GB2312"/>
          <w:kern w:val="0"/>
          <w:sz w:val="32"/>
          <w:szCs w:val="32"/>
          <w:shd w:val="clear" w:color="auto" w:fill="FFFFFF"/>
        </w:rPr>
      </w:pPr>
    </w:p>
    <w:p w14:paraId="25E7D05A">
      <w:pPr>
        <w:widowControl/>
        <w:shd w:val="clear" w:color="auto" w:fill="FFFFFF"/>
        <w:jc w:val="center"/>
        <w:rPr>
          <w:rFonts w:hint="eastAsia" w:ascii="仿宋_GB2312" w:hAnsi="宋体" w:eastAsia="仿宋_GB2312" w:cs="仿宋_GB2312"/>
          <w:kern w:val="0"/>
          <w:sz w:val="32"/>
          <w:szCs w:val="32"/>
          <w:shd w:val="clear" w:color="auto" w:fill="FFFFFF"/>
        </w:rPr>
      </w:pPr>
    </w:p>
    <w:p w14:paraId="1C293D98">
      <w:pPr>
        <w:widowControl/>
        <w:shd w:val="clear" w:color="auto" w:fill="FFFFFF"/>
        <w:jc w:val="center"/>
        <w:rPr>
          <w:rFonts w:hint="eastAsia" w:ascii="仿宋_GB2312" w:hAnsi="宋体" w:eastAsia="仿宋_GB2312" w:cs="仿宋_GB2312"/>
          <w:kern w:val="0"/>
          <w:sz w:val="32"/>
          <w:szCs w:val="32"/>
          <w:shd w:val="clear" w:color="auto" w:fill="FFFFFF"/>
        </w:rPr>
      </w:pPr>
    </w:p>
    <w:p w14:paraId="72EC0D27">
      <w:pPr>
        <w:widowControl/>
        <w:shd w:val="clear" w:color="auto" w:fill="FFFFFF"/>
        <w:jc w:val="center"/>
        <w:rPr>
          <w:rFonts w:hint="eastAsia" w:ascii="仿宋_GB2312" w:hAnsi="宋体" w:eastAsia="仿宋_GB2312" w:cs="仿宋_GB2312"/>
          <w:kern w:val="0"/>
          <w:sz w:val="32"/>
          <w:szCs w:val="32"/>
          <w:shd w:val="clear" w:color="auto" w:fill="FFFFFF"/>
        </w:rPr>
      </w:pPr>
    </w:p>
    <w:p w14:paraId="2B62406E">
      <w:pPr>
        <w:widowControl/>
        <w:shd w:val="clear" w:color="auto" w:fill="FFFFFF"/>
        <w:jc w:val="center"/>
        <w:rPr>
          <w:rFonts w:hint="eastAsia" w:ascii="仿宋_GB2312" w:hAnsi="宋体" w:eastAsia="仿宋_GB2312" w:cs="仿宋_GB2312"/>
          <w:kern w:val="0"/>
          <w:sz w:val="32"/>
          <w:szCs w:val="32"/>
          <w:shd w:val="clear" w:color="auto" w:fill="FFFFFF"/>
        </w:rPr>
      </w:pPr>
    </w:p>
    <w:p w14:paraId="6C4D93A0">
      <w:pPr>
        <w:widowControl/>
        <w:shd w:val="clear" w:color="auto" w:fill="FFFFFF"/>
        <w:jc w:val="center"/>
        <w:rPr>
          <w:rFonts w:hint="eastAsia" w:ascii="仿宋_GB2312" w:hAnsi="宋体" w:eastAsia="仿宋_GB2312" w:cs="仿宋_GB2312"/>
          <w:kern w:val="0"/>
          <w:sz w:val="32"/>
          <w:szCs w:val="32"/>
          <w:shd w:val="clear" w:color="auto" w:fill="FFFFFF"/>
        </w:rPr>
      </w:pPr>
    </w:p>
    <w:p w14:paraId="45C9C24B">
      <w:pPr>
        <w:widowControl/>
        <w:shd w:val="clear" w:color="auto" w:fill="FFFFFF"/>
        <w:jc w:val="center"/>
        <w:rPr>
          <w:rFonts w:hint="eastAsia" w:ascii="仿宋_GB2312" w:hAnsi="宋体" w:eastAsia="仿宋_GB2312" w:cs="仿宋_GB2312"/>
          <w:kern w:val="0"/>
          <w:sz w:val="32"/>
          <w:szCs w:val="32"/>
          <w:shd w:val="clear" w:color="auto" w:fill="FFFFFF"/>
        </w:rPr>
      </w:pPr>
    </w:p>
    <w:p w14:paraId="79AE6D31">
      <w:pPr>
        <w:widowControl/>
        <w:shd w:val="clear" w:color="auto" w:fill="FFFFFF"/>
        <w:jc w:val="center"/>
        <w:rPr>
          <w:rFonts w:hint="eastAsia" w:ascii="仿宋_GB2312" w:hAnsi="宋体" w:eastAsia="仿宋_GB2312" w:cs="仿宋_GB2312"/>
          <w:kern w:val="0"/>
          <w:sz w:val="32"/>
          <w:szCs w:val="32"/>
          <w:shd w:val="clear" w:color="auto" w:fill="FFFFFF"/>
        </w:rPr>
      </w:pPr>
    </w:p>
    <w:p w14:paraId="1FB5043B">
      <w:pPr>
        <w:widowControl/>
        <w:shd w:val="clear" w:color="auto" w:fill="FFFFFF"/>
        <w:jc w:val="center"/>
        <w:rPr>
          <w:rFonts w:hint="eastAsia" w:ascii="仿宋_GB2312" w:hAnsi="宋体" w:eastAsia="仿宋_GB2312" w:cs="仿宋_GB2312"/>
          <w:kern w:val="0"/>
          <w:sz w:val="32"/>
          <w:szCs w:val="32"/>
          <w:shd w:val="clear" w:color="auto" w:fill="FFFFFF"/>
        </w:rPr>
      </w:pPr>
    </w:p>
    <w:p w14:paraId="0423A6EA">
      <w:pPr>
        <w:widowControl/>
        <w:shd w:val="clear" w:color="auto" w:fill="FFFFFF"/>
        <w:jc w:val="center"/>
        <w:rPr>
          <w:rFonts w:hint="eastAsia" w:ascii="仿宋_GB2312" w:hAnsi="宋体" w:eastAsia="仿宋_GB2312" w:cs="仿宋_GB2312"/>
          <w:kern w:val="0"/>
          <w:sz w:val="32"/>
          <w:szCs w:val="32"/>
          <w:shd w:val="clear" w:color="auto" w:fill="FFFFFF"/>
        </w:rPr>
      </w:pPr>
    </w:p>
    <w:p w14:paraId="74B08B92">
      <w:pPr>
        <w:widowControl/>
        <w:shd w:val="clear" w:color="auto" w:fill="FFFFFF"/>
        <w:jc w:val="center"/>
        <w:rPr>
          <w:rFonts w:hint="eastAsia" w:ascii="仿宋_GB2312" w:hAnsi="宋体" w:eastAsia="仿宋_GB2312" w:cs="仿宋_GB2312"/>
          <w:kern w:val="0"/>
          <w:sz w:val="32"/>
          <w:szCs w:val="32"/>
          <w:shd w:val="clear" w:color="auto" w:fill="FFFFFF"/>
        </w:rPr>
      </w:pPr>
    </w:p>
    <w:p w14:paraId="41DE371B">
      <w:pPr>
        <w:widowControl/>
        <w:shd w:val="clear" w:color="auto" w:fill="FFFFFF"/>
        <w:jc w:val="center"/>
        <w:rPr>
          <w:rFonts w:hint="eastAsia" w:ascii="仿宋_GB2312" w:hAnsi="宋体" w:eastAsia="仿宋_GB2312" w:cs="仿宋_GB2312"/>
          <w:kern w:val="0"/>
          <w:sz w:val="32"/>
          <w:szCs w:val="32"/>
          <w:shd w:val="clear" w:color="auto" w:fill="FFFFFF"/>
        </w:rPr>
      </w:pPr>
    </w:p>
    <w:p w14:paraId="7CD8CA8F">
      <w:pPr>
        <w:widowControl/>
        <w:shd w:val="clear" w:color="auto" w:fill="FFFFFF"/>
        <w:jc w:val="center"/>
        <w:rPr>
          <w:rFonts w:hint="eastAsia" w:ascii="仿宋_GB2312" w:hAnsi="宋体" w:eastAsia="仿宋_GB2312" w:cs="仿宋_GB2312"/>
          <w:kern w:val="0"/>
          <w:sz w:val="32"/>
          <w:szCs w:val="32"/>
          <w:shd w:val="clear" w:color="auto" w:fill="FFFFFF"/>
        </w:rPr>
      </w:pPr>
    </w:p>
    <w:p w14:paraId="017CD8F8">
      <w:pPr>
        <w:widowControl/>
        <w:shd w:val="clear" w:color="auto" w:fill="FFFFFF"/>
        <w:jc w:val="center"/>
        <w:rPr>
          <w:rFonts w:hint="eastAsia" w:ascii="仿宋_GB2312" w:hAnsi="宋体" w:eastAsia="仿宋_GB2312" w:cs="仿宋_GB2312"/>
          <w:kern w:val="0"/>
          <w:sz w:val="32"/>
          <w:szCs w:val="32"/>
          <w:shd w:val="clear" w:color="auto" w:fill="FFFFFF"/>
        </w:rPr>
      </w:pPr>
    </w:p>
    <w:p w14:paraId="5C1B2D45">
      <w:pPr>
        <w:widowControl/>
        <w:shd w:val="clear" w:color="auto" w:fill="FFFFFF"/>
        <w:jc w:val="center"/>
        <w:rPr>
          <w:rFonts w:hint="eastAsia" w:ascii="仿宋_GB2312" w:hAnsi="宋体" w:eastAsia="仿宋_GB2312" w:cs="仿宋_GB2312"/>
          <w:kern w:val="0"/>
          <w:sz w:val="32"/>
          <w:szCs w:val="32"/>
          <w:shd w:val="clear" w:color="auto" w:fill="FFFFFF"/>
        </w:rPr>
      </w:pPr>
    </w:p>
    <w:p w14:paraId="77AE3CBB">
      <w:pPr>
        <w:widowControl/>
        <w:shd w:val="clear" w:color="auto" w:fill="FFFFFF"/>
        <w:jc w:val="center"/>
        <w:rPr>
          <w:rFonts w:hint="eastAsia" w:ascii="仿宋_GB2312" w:hAnsi="宋体" w:eastAsia="仿宋_GB2312" w:cs="仿宋_GB2312"/>
          <w:kern w:val="0"/>
          <w:sz w:val="32"/>
          <w:szCs w:val="32"/>
          <w:shd w:val="clear" w:color="auto" w:fill="FFFFFF"/>
        </w:rPr>
      </w:pPr>
    </w:p>
    <w:p w14:paraId="0A5E12BF">
      <w:pPr>
        <w:widowControl/>
        <w:shd w:val="clear" w:color="auto" w:fill="FFFFFF"/>
        <w:jc w:val="center"/>
        <w:rPr>
          <w:rFonts w:hint="eastAsia" w:ascii="仿宋_GB2312" w:hAnsi="宋体" w:eastAsia="仿宋_GB2312" w:cs="仿宋_GB2312"/>
          <w:kern w:val="0"/>
          <w:sz w:val="32"/>
          <w:szCs w:val="32"/>
          <w:shd w:val="clear" w:color="auto" w:fill="FFFFFF"/>
        </w:rPr>
      </w:pPr>
    </w:p>
    <w:p w14:paraId="037AA7FC">
      <w:pPr>
        <w:widowControl/>
        <w:shd w:val="clear" w:color="auto" w:fill="FFFFFF"/>
        <w:jc w:val="center"/>
        <w:rPr>
          <w:rFonts w:hint="eastAsia" w:ascii="仿宋_GB2312" w:hAnsi="宋体" w:eastAsia="仿宋_GB2312" w:cs="仿宋_GB2312"/>
          <w:kern w:val="0"/>
          <w:sz w:val="32"/>
          <w:szCs w:val="32"/>
          <w:shd w:val="clear" w:color="auto" w:fill="FFFFFF"/>
        </w:rPr>
      </w:pPr>
    </w:p>
    <w:p w14:paraId="4A21014A">
      <w:pPr>
        <w:widowControl/>
        <w:shd w:val="clear" w:color="auto" w:fill="FFFFFF"/>
        <w:jc w:val="center"/>
        <w:rPr>
          <w:rFonts w:ascii="宋体" w:hAnsi="宋体" w:cs="宋体"/>
          <w:sz w:val="18"/>
          <w:szCs w:val="18"/>
        </w:rPr>
      </w:pPr>
      <w:r>
        <w:rPr>
          <w:rFonts w:hint="eastAsia" w:ascii="仿宋_GB2312" w:hAnsi="宋体" w:eastAsia="仿宋_GB2312" w:cs="仿宋_GB2312"/>
          <w:kern w:val="0"/>
          <w:sz w:val="32"/>
          <w:szCs w:val="32"/>
          <w:shd w:val="clear" w:color="auto" w:fill="FFFFFF"/>
        </w:rPr>
        <w:t>琼州海峡202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shd w:val="clear" w:color="auto" w:fill="FFFFFF"/>
        </w:rPr>
        <w:t>年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shd w:val="clear" w:color="auto" w:fill="FFFFFF"/>
          <w:lang w:val="en-US" w:eastAsia="zh-CN"/>
        </w:rPr>
        <w:t>4月份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shd w:val="clear" w:color="auto" w:fill="FFFFFF"/>
        </w:rPr>
        <w:t>各航线运输情况统计表</w:t>
      </w:r>
    </w:p>
    <w:tbl>
      <w:tblPr>
        <w:tblStyle w:val="5"/>
        <w:tblW w:w="8436" w:type="dxa"/>
        <w:tblInd w:w="-10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03"/>
        <w:gridCol w:w="1157"/>
        <w:gridCol w:w="1049"/>
        <w:gridCol w:w="962"/>
        <w:gridCol w:w="1002"/>
        <w:gridCol w:w="992"/>
        <w:gridCol w:w="1134"/>
        <w:gridCol w:w="1137"/>
      </w:tblGrid>
      <w:tr w14:paraId="38CE00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4" w:hRule="atLeast"/>
        </w:trPr>
        <w:tc>
          <w:tcPr>
            <w:tcW w:w="2160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B2CBAF">
            <w:pPr>
              <w:widowControl/>
              <w:spacing w:line="580" w:lineRule="atLeast"/>
              <w:jc w:val="center"/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</w:rPr>
              <w:t>航线</w:t>
            </w:r>
          </w:p>
          <w:p w14:paraId="66F8AC6A">
            <w:pPr>
              <w:widowControl/>
              <w:spacing w:line="580" w:lineRule="atLeast"/>
              <w:jc w:val="center"/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</w:rPr>
              <w:t>项目</w:t>
            </w:r>
          </w:p>
        </w:tc>
        <w:tc>
          <w:tcPr>
            <w:tcW w:w="1049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E9506E">
            <w:pPr>
              <w:widowControl/>
              <w:spacing w:line="580" w:lineRule="atLeast"/>
              <w:jc w:val="center"/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</w:rPr>
              <w:t>海安线</w:t>
            </w:r>
          </w:p>
        </w:tc>
        <w:tc>
          <w:tcPr>
            <w:tcW w:w="962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B7CE1E">
            <w:pPr>
              <w:widowControl/>
              <w:spacing w:line="580" w:lineRule="atLeast"/>
              <w:jc w:val="center"/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</w:rPr>
              <w:t>同比</w:t>
            </w:r>
          </w:p>
        </w:tc>
        <w:tc>
          <w:tcPr>
            <w:tcW w:w="1002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203553">
            <w:pPr>
              <w:widowControl/>
              <w:spacing w:line="580" w:lineRule="atLeast"/>
              <w:jc w:val="center"/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</w:rPr>
              <w:t>粤海铁</w:t>
            </w:r>
          </w:p>
        </w:tc>
        <w:tc>
          <w:tcPr>
            <w:tcW w:w="992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0F425D">
            <w:pPr>
              <w:widowControl/>
              <w:spacing w:line="580" w:lineRule="atLeast"/>
              <w:jc w:val="center"/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</w:rPr>
              <w:t>同比</w:t>
            </w:r>
          </w:p>
        </w:tc>
        <w:tc>
          <w:tcPr>
            <w:tcW w:w="1134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B3C1D1">
            <w:pPr>
              <w:widowControl/>
              <w:spacing w:line="580" w:lineRule="atLeast"/>
              <w:jc w:val="center"/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</w:rPr>
              <w:t>琼州海峡合计</w:t>
            </w:r>
          </w:p>
        </w:tc>
        <w:tc>
          <w:tcPr>
            <w:tcW w:w="1137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3BDEBB">
            <w:pPr>
              <w:widowControl/>
              <w:spacing w:line="580" w:lineRule="atLeast"/>
              <w:jc w:val="center"/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</w:rPr>
              <w:t>同比</w:t>
            </w:r>
          </w:p>
        </w:tc>
      </w:tr>
      <w:tr w14:paraId="21508E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1003" w:type="dxa"/>
            <w:vMerge w:val="restart"/>
            <w:tcBorders>
              <w:top w:val="single" w:color="F0F0F0" w:sz="2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B44B50">
            <w:pPr>
              <w:widowControl/>
              <w:spacing w:line="580" w:lineRule="atLeast"/>
              <w:ind w:left="113" w:right="113"/>
              <w:jc w:val="center"/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</w:rPr>
              <w:t>旅客（万人次）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8FC323">
            <w:pPr>
              <w:widowControl/>
              <w:spacing w:line="580" w:lineRule="atLeast"/>
              <w:jc w:val="center"/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</w:rPr>
              <w:t>进出岛</w:t>
            </w:r>
          </w:p>
        </w:tc>
        <w:tc>
          <w:tcPr>
            <w:tcW w:w="10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57CD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112.0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188A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-7.1%</w:t>
            </w:r>
          </w:p>
        </w:tc>
        <w:tc>
          <w:tcPr>
            <w:tcW w:w="10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EFD7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47.0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3CD5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4.1%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9BDE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159.0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192A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-4.1%</w:t>
            </w:r>
          </w:p>
        </w:tc>
      </w:tr>
      <w:tr w14:paraId="06E78C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1003" w:type="dxa"/>
            <w:vMerge w:val="continue"/>
            <w:tcBorders>
              <w:top w:val="single" w:color="F0F0F0" w:sz="2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vAlign w:val="center"/>
          </w:tcPr>
          <w:p w14:paraId="1A4D5D10">
            <w:pPr>
              <w:widowControl/>
              <w:jc w:val="left"/>
            </w:pPr>
          </w:p>
        </w:tc>
        <w:tc>
          <w:tcPr>
            <w:tcW w:w="1157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439709">
            <w:pPr>
              <w:widowControl/>
              <w:spacing w:line="580" w:lineRule="atLeast"/>
              <w:jc w:val="center"/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</w:rPr>
              <w:t>进岛</w:t>
            </w:r>
          </w:p>
        </w:tc>
        <w:tc>
          <w:tcPr>
            <w:tcW w:w="10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E586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46.8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7354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-10.3%</w:t>
            </w:r>
          </w:p>
        </w:tc>
        <w:tc>
          <w:tcPr>
            <w:tcW w:w="10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4128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20.9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3027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0.4%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70D9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67.7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1586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-7.3%</w:t>
            </w:r>
          </w:p>
        </w:tc>
      </w:tr>
      <w:tr w14:paraId="23D5FD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1003" w:type="dxa"/>
            <w:vMerge w:val="continue"/>
            <w:tcBorders>
              <w:top w:val="single" w:color="F0F0F0" w:sz="2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vAlign w:val="center"/>
          </w:tcPr>
          <w:p w14:paraId="7F948BC2">
            <w:pPr>
              <w:widowControl/>
              <w:jc w:val="left"/>
            </w:pPr>
          </w:p>
        </w:tc>
        <w:tc>
          <w:tcPr>
            <w:tcW w:w="1157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6A8266">
            <w:pPr>
              <w:widowControl/>
              <w:spacing w:line="580" w:lineRule="atLeast"/>
              <w:jc w:val="center"/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</w:rPr>
              <w:t>出岛</w:t>
            </w:r>
          </w:p>
        </w:tc>
        <w:tc>
          <w:tcPr>
            <w:tcW w:w="1049" w:type="dxa"/>
            <w:tcBorders>
              <w:top w:val="nil"/>
              <w:left w:val="nil"/>
              <w:bottom w:val="single" w:color="auto" w:sz="12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FFAF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65.2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5544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-4.7%</w:t>
            </w:r>
          </w:p>
        </w:tc>
        <w:tc>
          <w:tcPr>
            <w:tcW w:w="1002" w:type="dxa"/>
            <w:tcBorders>
              <w:top w:val="nil"/>
              <w:left w:val="nil"/>
              <w:bottom w:val="single" w:color="auto" w:sz="12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A1EE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26.1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FBE8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7.1%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12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931C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91.3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auto" w:sz="12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16FE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-1.6%</w:t>
            </w:r>
          </w:p>
        </w:tc>
      </w:tr>
      <w:tr w14:paraId="7C69D9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1003" w:type="dxa"/>
            <w:vMerge w:val="restart"/>
            <w:tcBorders>
              <w:top w:val="single" w:color="F0F0F0" w:sz="2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22E156">
            <w:pPr>
              <w:widowControl/>
              <w:spacing w:line="580" w:lineRule="atLeast"/>
              <w:ind w:left="113" w:right="113"/>
              <w:jc w:val="center"/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</w:rPr>
              <w:t>车辆（万台次）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C416A1">
            <w:pPr>
              <w:widowControl/>
              <w:spacing w:line="580" w:lineRule="atLeast"/>
              <w:jc w:val="center"/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</w:rPr>
              <w:t>进出岛</w:t>
            </w:r>
          </w:p>
        </w:tc>
        <w:tc>
          <w:tcPr>
            <w:tcW w:w="10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DEF1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42.7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E8FD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-3.2%</w:t>
            </w:r>
          </w:p>
        </w:tc>
        <w:tc>
          <w:tcPr>
            <w:tcW w:w="10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3AAF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6.7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B217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-21.1%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E6BE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49.4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0E8C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-6.1%</w:t>
            </w:r>
          </w:p>
        </w:tc>
      </w:tr>
      <w:tr w14:paraId="0C31D2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1003" w:type="dxa"/>
            <w:vMerge w:val="continue"/>
            <w:tcBorders>
              <w:top w:val="single" w:color="F0F0F0" w:sz="2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vAlign w:val="center"/>
          </w:tcPr>
          <w:p w14:paraId="22D18941">
            <w:pPr>
              <w:widowControl/>
              <w:jc w:val="left"/>
            </w:pPr>
          </w:p>
        </w:tc>
        <w:tc>
          <w:tcPr>
            <w:tcW w:w="1157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A4F832">
            <w:pPr>
              <w:widowControl/>
              <w:spacing w:line="580" w:lineRule="atLeast"/>
              <w:jc w:val="center"/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</w:rPr>
              <w:t>进岛</w:t>
            </w:r>
          </w:p>
        </w:tc>
        <w:tc>
          <w:tcPr>
            <w:tcW w:w="10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D4F8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19.0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C0B1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-6.5%</w:t>
            </w:r>
          </w:p>
        </w:tc>
        <w:tc>
          <w:tcPr>
            <w:tcW w:w="10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5C1C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3.8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8A45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-14.2%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D321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22.8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3D0F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-7.9%</w:t>
            </w:r>
          </w:p>
        </w:tc>
      </w:tr>
      <w:tr w14:paraId="1B47E1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1003" w:type="dxa"/>
            <w:vMerge w:val="continue"/>
            <w:tcBorders>
              <w:top w:val="single" w:color="F0F0F0" w:sz="2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vAlign w:val="center"/>
          </w:tcPr>
          <w:p w14:paraId="24482E19">
            <w:pPr>
              <w:widowControl/>
              <w:jc w:val="left"/>
            </w:pPr>
          </w:p>
        </w:tc>
        <w:tc>
          <w:tcPr>
            <w:tcW w:w="1157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F335C4">
            <w:pPr>
              <w:widowControl/>
              <w:spacing w:line="580" w:lineRule="atLeast"/>
              <w:jc w:val="center"/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</w:rPr>
              <w:t>出岛</w:t>
            </w:r>
          </w:p>
        </w:tc>
        <w:tc>
          <w:tcPr>
            <w:tcW w:w="1049" w:type="dxa"/>
            <w:tcBorders>
              <w:top w:val="nil"/>
              <w:left w:val="nil"/>
              <w:bottom w:val="single" w:color="auto" w:sz="12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DDD6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23.7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B3D3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-0.3%</w:t>
            </w:r>
          </w:p>
        </w:tc>
        <w:tc>
          <w:tcPr>
            <w:tcW w:w="1002" w:type="dxa"/>
            <w:tcBorders>
              <w:top w:val="nil"/>
              <w:left w:val="nil"/>
              <w:bottom w:val="single" w:color="auto" w:sz="12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4A6E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2.9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A805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-28.3%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12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2F79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26.6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auto" w:sz="12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4BB8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-4.4%</w:t>
            </w:r>
          </w:p>
        </w:tc>
      </w:tr>
      <w:tr w14:paraId="62A23E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1003" w:type="dxa"/>
            <w:vMerge w:val="restart"/>
            <w:tcBorders>
              <w:top w:val="single" w:color="F0F0F0" w:sz="2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847F65">
            <w:pPr>
              <w:widowControl/>
              <w:spacing w:line="580" w:lineRule="atLeast"/>
              <w:ind w:left="113" w:right="113"/>
              <w:jc w:val="center"/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</w:rPr>
              <w:t>实航（班次）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F050BC">
            <w:pPr>
              <w:widowControl/>
              <w:spacing w:line="580" w:lineRule="atLeast"/>
              <w:jc w:val="center"/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</w:rPr>
              <w:t>进出岛</w:t>
            </w:r>
          </w:p>
        </w:tc>
        <w:tc>
          <w:tcPr>
            <w:tcW w:w="10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9910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6600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0769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-4.4%</w:t>
            </w:r>
          </w:p>
        </w:tc>
        <w:tc>
          <w:tcPr>
            <w:tcW w:w="10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2543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846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1A77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-10.2%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63E6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7446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9025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-5.1%</w:t>
            </w:r>
          </w:p>
        </w:tc>
      </w:tr>
      <w:tr w14:paraId="7356C1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1003" w:type="dxa"/>
            <w:vMerge w:val="continue"/>
            <w:tcBorders>
              <w:top w:val="single" w:color="F0F0F0" w:sz="2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vAlign w:val="center"/>
          </w:tcPr>
          <w:p w14:paraId="01AE278A">
            <w:pPr>
              <w:widowControl/>
              <w:jc w:val="left"/>
            </w:pPr>
          </w:p>
        </w:tc>
        <w:tc>
          <w:tcPr>
            <w:tcW w:w="1157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8B40B7">
            <w:pPr>
              <w:widowControl/>
              <w:spacing w:line="580" w:lineRule="atLeast"/>
              <w:jc w:val="center"/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</w:rPr>
              <w:t>进岛</w:t>
            </w:r>
          </w:p>
        </w:tc>
        <w:tc>
          <w:tcPr>
            <w:tcW w:w="10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7771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3189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D3EF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-4.1%</w:t>
            </w:r>
          </w:p>
        </w:tc>
        <w:tc>
          <w:tcPr>
            <w:tcW w:w="10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D421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C952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-10.4%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38A6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3612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F67C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-4.9%</w:t>
            </w:r>
          </w:p>
        </w:tc>
      </w:tr>
      <w:tr w14:paraId="49F229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1003" w:type="dxa"/>
            <w:vMerge w:val="continue"/>
            <w:tcBorders>
              <w:top w:val="single" w:color="F0F0F0" w:sz="2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vAlign w:val="center"/>
          </w:tcPr>
          <w:p w14:paraId="0D4D0EDD">
            <w:pPr>
              <w:widowControl/>
              <w:jc w:val="left"/>
            </w:pPr>
          </w:p>
        </w:tc>
        <w:tc>
          <w:tcPr>
            <w:tcW w:w="1157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D02BE2">
            <w:pPr>
              <w:widowControl/>
              <w:spacing w:line="580" w:lineRule="atLeast"/>
              <w:jc w:val="center"/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</w:rPr>
              <w:t>出岛</w:t>
            </w:r>
          </w:p>
        </w:tc>
        <w:tc>
          <w:tcPr>
            <w:tcW w:w="1049" w:type="dxa"/>
            <w:tcBorders>
              <w:top w:val="nil"/>
              <w:left w:val="nil"/>
              <w:bottom w:val="single" w:color="auto" w:sz="12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6495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3411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05AA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-4.7%</w:t>
            </w:r>
          </w:p>
        </w:tc>
        <w:tc>
          <w:tcPr>
            <w:tcW w:w="1002" w:type="dxa"/>
            <w:tcBorders>
              <w:top w:val="nil"/>
              <w:left w:val="nil"/>
              <w:bottom w:val="single" w:color="auto" w:sz="12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6FFF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2BBA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-10.0%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12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3916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3834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auto" w:sz="12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E79C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-5.3%</w:t>
            </w:r>
          </w:p>
        </w:tc>
      </w:tr>
      <w:tr w14:paraId="5A2B87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1003" w:type="dxa"/>
            <w:vMerge w:val="restart"/>
            <w:tcBorders>
              <w:top w:val="single" w:color="F0F0F0" w:sz="2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0B254D">
            <w:pPr>
              <w:widowControl/>
              <w:spacing w:line="580" w:lineRule="atLeast"/>
              <w:ind w:left="113" w:right="113"/>
              <w:jc w:val="center"/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</w:rPr>
              <w:t>载重量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（万吨）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DAAC68">
            <w:pPr>
              <w:widowControl/>
              <w:spacing w:line="580" w:lineRule="atLeast"/>
              <w:jc w:val="center"/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</w:rPr>
              <w:t>进出岛</w:t>
            </w:r>
          </w:p>
        </w:tc>
        <w:tc>
          <w:tcPr>
            <w:tcW w:w="10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23A7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864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11F2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-7.1%</w:t>
            </w:r>
          </w:p>
        </w:tc>
        <w:tc>
          <w:tcPr>
            <w:tcW w:w="10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21C1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C506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-28.2%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1C1D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971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DFAF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-10.0%</w:t>
            </w:r>
          </w:p>
        </w:tc>
      </w:tr>
      <w:tr w14:paraId="4152F9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1003" w:type="dxa"/>
            <w:vMerge w:val="continue"/>
            <w:tcBorders>
              <w:top w:val="single" w:color="F0F0F0" w:sz="2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vAlign w:val="center"/>
          </w:tcPr>
          <w:p w14:paraId="3761DD6A">
            <w:pPr>
              <w:widowControl/>
              <w:jc w:val="left"/>
            </w:pPr>
          </w:p>
        </w:tc>
        <w:tc>
          <w:tcPr>
            <w:tcW w:w="1157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27B369">
            <w:pPr>
              <w:widowControl/>
              <w:spacing w:line="580" w:lineRule="atLeast"/>
              <w:jc w:val="center"/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</w:rPr>
              <w:t>进岛</w:t>
            </w:r>
          </w:p>
        </w:tc>
        <w:tc>
          <w:tcPr>
            <w:tcW w:w="10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5572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503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50DB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-6.1%</w:t>
            </w:r>
          </w:p>
        </w:tc>
        <w:tc>
          <w:tcPr>
            <w:tcW w:w="10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5247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5E83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-20.2%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CE3E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563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A595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-7.8%</w:t>
            </w:r>
          </w:p>
        </w:tc>
      </w:tr>
      <w:tr w14:paraId="2DDE6E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1003" w:type="dxa"/>
            <w:vMerge w:val="continue"/>
            <w:tcBorders>
              <w:top w:val="single" w:color="F0F0F0" w:sz="2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vAlign w:val="center"/>
          </w:tcPr>
          <w:p w14:paraId="3AA9D8C7">
            <w:pPr>
              <w:widowControl/>
              <w:jc w:val="left"/>
            </w:pPr>
          </w:p>
        </w:tc>
        <w:tc>
          <w:tcPr>
            <w:tcW w:w="1157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6F469F">
            <w:pPr>
              <w:widowControl/>
              <w:spacing w:line="580" w:lineRule="atLeast"/>
              <w:jc w:val="center"/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</w:rPr>
              <w:t>出岛</w:t>
            </w:r>
          </w:p>
        </w:tc>
        <w:tc>
          <w:tcPr>
            <w:tcW w:w="1049" w:type="dxa"/>
            <w:tcBorders>
              <w:top w:val="nil"/>
              <w:left w:val="nil"/>
              <w:bottom w:val="single" w:color="auto" w:sz="12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E63E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361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31F3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-8.5%</w:t>
            </w:r>
          </w:p>
        </w:tc>
        <w:tc>
          <w:tcPr>
            <w:tcW w:w="1002" w:type="dxa"/>
            <w:tcBorders>
              <w:top w:val="nil"/>
              <w:left w:val="nil"/>
              <w:bottom w:val="single" w:color="auto" w:sz="12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7752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67A0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-36.3%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12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0E67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408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auto" w:sz="12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02DD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-12.8%</w:t>
            </w:r>
          </w:p>
        </w:tc>
      </w:tr>
    </w:tbl>
    <w:p w14:paraId="71E9167E">
      <w:pPr>
        <w:tabs>
          <w:tab w:val="left" w:pos="1063"/>
        </w:tabs>
        <w:rPr>
          <w:rFonts w:ascii="方正小标宋简体" w:hAnsi="黑体" w:eastAsia="方正小标宋简体" w:cs="仿宋_GB2312"/>
          <w:bCs/>
          <w:sz w:val="44"/>
          <w:szCs w:val="44"/>
        </w:rPr>
      </w:pPr>
    </w:p>
    <w:p w14:paraId="727EFC4D">
      <w:pPr>
        <w:tabs>
          <w:tab w:val="left" w:pos="1063"/>
        </w:tabs>
        <w:rPr>
          <w:rFonts w:ascii="方正小标宋简体" w:hAnsi="黑体" w:eastAsia="方正小标宋简体" w:cs="仿宋_GB2312"/>
          <w:bCs/>
          <w:sz w:val="44"/>
          <w:szCs w:val="4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mJlYjhiNmQ3MGE4NGFiMTRlOTZhMjA0M2U3Yzg0NjcifQ=="/>
  </w:docVars>
  <w:rsids>
    <w:rsidRoot w:val="004B34DC"/>
    <w:rsid w:val="00023527"/>
    <w:rsid w:val="00025212"/>
    <w:rsid w:val="00047AE9"/>
    <w:rsid w:val="00056A68"/>
    <w:rsid w:val="000609EA"/>
    <w:rsid w:val="000925B7"/>
    <w:rsid w:val="000A35A2"/>
    <w:rsid w:val="000B34CE"/>
    <w:rsid w:val="000C4E1F"/>
    <w:rsid w:val="000E0749"/>
    <w:rsid w:val="000E63AF"/>
    <w:rsid w:val="000E657B"/>
    <w:rsid w:val="000F5C79"/>
    <w:rsid w:val="000F6ECE"/>
    <w:rsid w:val="00100F0E"/>
    <w:rsid w:val="00102257"/>
    <w:rsid w:val="00111D39"/>
    <w:rsid w:val="0011540E"/>
    <w:rsid w:val="00121DCD"/>
    <w:rsid w:val="00133024"/>
    <w:rsid w:val="00143E46"/>
    <w:rsid w:val="00147D0E"/>
    <w:rsid w:val="001513D3"/>
    <w:rsid w:val="001624BA"/>
    <w:rsid w:val="00163E3A"/>
    <w:rsid w:val="00176874"/>
    <w:rsid w:val="00176C0F"/>
    <w:rsid w:val="0019165F"/>
    <w:rsid w:val="00194D5A"/>
    <w:rsid w:val="00196DD4"/>
    <w:rsid w:val="001A1FAC"/>
    <w:rsid w:val="001A5046"/>
    <w:rsid w:val="001A690A"/>
    <w:rsid w:val="001B2BB4"/>
    <w:rsid w:val="001B4BFA"/>
    <w:rsid w:val="001D37DD"/>
    <w:rsid w:val="001F081D"/>
    <w:rsid w:val="001F2888"/>
    <w:rsid w:val="00220402"/>
    <w:rsid w:val="002251FC"/>
    <w:rsid w:val="00243DCD"/>
    <w:rsid w:val="00245244"/>
    <w:rsid w:val="0024625A"/>
    <w:rsid w:val="00252FA1"/>
    <w:rsid w:val="00256CDA"/>
    <w:rsid w:val="00257840"/>
    <w:rsid w:val="00260548"/>
    <w:rsid w:val="00262D72"/>
    <w:rsid w:val="00272659"/>
    <w:rsid w:val="00281B84"/>
    <w:rsid w:val="00292F3C"/>
    <w:rsid w:val="00294E3D"/>
    <w:rsid w:val="002A029E"/>
    <w:rsid w:val="002A279C"/>
    <w:rsid w:val="002C013C"/>
    <w:rsid w:val="002C5D76"/>
    <w:rsid w:val="002C68F8"/>
    <w:rsid w:val="002E1ACC"/>
    <w:rsid w:val="002E7A15"/>
    <w:rsid w:val="002F04C9"/>
    <w:rsid w:val="002F4FD7"/>
    <w:rsid w:val="00316EBE"/>
    <w:rsid w:val="0034538F"/>
    <w:rsid w:val="00347F22"/>
    <w:rsid w:val="00355DF9"/>
    <w:rsid w:val="003618B1"/>
    <w:rsid w:val="003907DF"/>
    <w:rsid w:val="003927CA"/>
    <w:rsid w:val="003A713B"/>
    <w:rsid w:val="003B0A16"/>
    <w:rsid w:val="003B171F"/>
    <w:rsid w:val="003C7BB4"/>
    <w:rsid w:val="003D7520"/>
    <w:rsid w:val="003E0722"/>
    <w:rsid w:val="003F56F3"/>
    <w:rsid w:val="00413F0F"/>
    <w:rsid w:val="004175C5"/>
    <w:rsid w:val="00417D63"/>
    <w:rsid w:val="00425B2B"/>
    <w:rsid w:val="00434E09"/>
    <w:rsid w:val="00447D9A"/>
    <w:rsid w:val="004529DD"/>
    <w:rsid w:val="004546C1"/>
    <w:rsid w:val="004550AF"/>
    <w:rsid w:val="00455E7B"/>
    <w:rsid w:val="00466BDB"/>
    <w:rsid w:val="00477CA4"/>
    <w:rsid w:val="00482892"/>
    <w:rsid w:val="00490B12"/>
    <w:rsid w:val="004A59E9"/>
    <w:rsid w:val="004A72B4"/>
    <w:rsid w:val="004B34DC"/>
    <w:rsid w:val="004F5006"/>
    <w:rsid w:val="005006B1"/>
    <w:rsid w:val="00501A9C"/>
    <w:rsid w:val="00506648"/>
    <w:rsid w:val="00507306"/>
    <w:rsid w:val="0052460A"/>
    <w:rsid w:val="005314D0"/>
    <w:rsid w:val="0054543E"/>
    <w:rsid w:val="0055654B"/>
    <w:rsid w:val="00562AB9"/>
    <w:rsid w:val="00576633"/>
    <w:rsid w:val="0057739D"/>
    <w:rsid w:val="005825D9"/>
    <w:rsid w:val="005873D5"/>
    <w:rsid w:val="00593799"/>
    <w:rsid w:val="005A2555"/>
    <w:rsid w:val="005A4E2B"/>
    <w:rsid w:val="005B142D"/>
    <w:rsid w:val="005B3961"/>
    <w:rsid w:val="005C29B3"/>
    <w:rsid w:val="005C65AF"/>
    <w:rsid w:val="005C6ECC"/>
    <w:rsid w:val="005C74CB"/>
    <w:rsid w:val="005D5D53"/>
    <w:rsid w:val="005E17A0"/>
    <w:rsid w:val="005E6E8E"/>
    <w:rsid w:val="005F041A"/>
    <w:rsid w:val="00600257"/>
    <w:rsid w:val="00603A6D"/>
    <w:rsid w:val="00617A0F"/>
    <w:rsid w:val="00637D16"/>
    <w:rsid w:val="006572ED"/>
    <w:rsid w:val="006617BA"/>
    <w:rsid w:val="00664D0B"/>
    <w:rsid w:val="00672C7D"/>
    <w:rsid w:val="00680B1B"/>
    <w:rsid w:val="00681A33"/>
    <w:rsid w:val="00696BC3"/>
    <w:rsid w:val="006A4164"/>
    <w:rsid w:val="006B77F5"/>
    <w:rsid w:val="006D4260"/>
    <w:rsid w:val="006E2019"/>
    <w:rsid w:val="006F0BAA"/>
    <w:rsid w:val="00704F31"/>
    <w:rsid w:val="00706ED5"/>
    <w:rsid w:val="0071172D"/>
    <w:rsid w:val="00712EC1"/>
    <w:rsid w:val="00713D92"/>
    <w:rsid w:val="0071525E"/>
    <w:rsid w:val="00721A3B"/>
    <w:rsid w:val="00722942"/>
    <w:rsid w:val="00723A5F"/>
    <w:rsid w:val="007301CB"/>
    <w:rsid w:val="007413B5"/>
    <w:rsid w:val="00743163"/>
    <w:rsid w:val="00745943"/>
    <w:rsid w:val="00756AFB"/>
    <w:rsid w:val="00760572"/>
    <w:rsid w:val="00766A72"/>
    <w:rsid w:val="00771720"/>
    <w:rsid w:val="00772F27"/>
    <w:rsid w:val="00774B6C"/>
    <w:rsid w:val="007A0EFD"/>
    <w:rsid w:val="007B320E"/>
    <w:rsid w:val="007C60BA"/>
    <w:rsid w:val="007C7A10"/>
    <w:rsid w:val="0081006D"/>
    <w:rsid w:val="008139C2"/>
    <w:rsid w:val="008140DC"/>
    <w:rsid w:val="00815B76"/>
    <w:rsid w:val="0082303A"/>
    <w:rsid w:val="00823DAE"/>
    <w:rsid w:val="00834095"/>
    <w:rsid w:val="00846D5A"/>
    <w:rsid w:val="0086449C"/>
    <w:rsid w:val="00867F26"/>
    <w:rsid w:val="008947A0"/>
    <w:rsid w:val="008A32ED"/>
    <w:rsid w:val="008A338A"/>
    <w:rsid w:val="008A51E9"/>
    <w:rsid w:val="008B02C1"/>
    <w:rsid w:val="008C50A9"/>
    <w:rsid w:val="008C6474"/>
    <w:rsid w:val="008F34C7"/>
    <w:rsid w:val="00900BC7"/>
    <w:rsid w:val="009142EB"/>
    <w:rsid w:val="00924AB9"/>
    <w:rsid w:val="00927F6D"/>
    <w:rsid w:val="009406F6"/>
    <w:rsid w:val="00940AB4"/>
    <w:rsid w:val="00945A3D"/>
    <w:rsid w:val="00946510"/>
    <w:rsid w:val="00965BD2"/>
    <w:rsid w:val="009667E4"/>
    <w:rsid w:val="00967A32"/>
    <w:rsid w:val="009740A9"/>
    <w:rsid w:val="009C3424"/>
    <w:rsid w:val="009C5229"/>
    <w:rsid w:val="009C7FCF"/>
    <w:rsid w:val="009F3F68"/>
    <w:rsid w:val="009F4E7B"/>
    <w:rsid w:val="00A00ED7"/>
    <w:rsid w:val="00A156BE"/>
    <w:rsid w:val="00A350BC"/>
    <w:rsid w:val="00A45C7A"/>
    <w:rsid w:val="00A82BCE"/>
    <w:rsid w:val="00AA587A"/>
    <w:rsid w:val="00AB4174"/>
    <w:rsid w:val="00AC3B9A"/>
    <w:rsid w:val="00AD0E1C"/>
    <w:rsid w:val="00AD7DA6"/>
    <w:rsid w:val="00AE5DBE"/>
    <w:rsid w:val="00AE74E7"/>
    <w:rsid w:val="00AF35AF"/>
    <w:rsid w:val="00AF74C6"/>
    <w:rsid w:val="00B16A26"/>
    <w:rsid w:val="00B359B1"/>
    <w:rsid w:val="00B47E55"/>
    <w:rsid w:val="00B6117D"/>
    <w:rsid w:val="00B8221E"/>
    <w:rsid w:val="00B90738"/>
    <w:rsid w:val="00B96D58"/>
    <w:rsid w:val="00BA30E6"/>
    <w:rsid w:val="00BB22D4"/>
    <w:rsid w:val="00BB72C7"/>
    <w:rsid w:val="00BC1CC0"/>
    <w:rsid w:val="00BC2C2D"/>
    <w:rsid w:val="00BD48A8"/>
    <w:rsid w:val="00BD515D"/>
    <w:rsid w:val="00BD7E4E"/>
    <w:rsid w:val="00BE1265"/>
    <w:rsid w:val="00BF530D"/>
    <w:rsid w:val="00C13C94"/>
    <w:rsid w:val="00C16DED"/>
    <w:rsid w:val="00C32479"/>
    <w:rsid w:val="00C33523"/>
    <w:rsid w:val="00C343FE"/>
    <w:rsid w:val="00C435D9"/>
    <w:rsid w:val="00C45E4C"/>
    <w:rsid w:val="00C50D83"/>
    <w:rsid w:val="00C61B84"/>
    <w:rsid w:val="00C63B2F"/>
    <w:rsid w:val="00C66A3B"/>
    <w:rsid w:val="00C66D54"/>
    <w:rsid w:val="00C7347C"/>
    <w:rsid w:val="00C74371"/>
    <w:rsid w:val="00C768F8"/>
    <w:rsid w:val="00C85843"/>
    <w:rsid w:val="00C91CBF"/>
    <w:rsid w:val="00C94A60"/>
    <w:rsid w:val="00CA48E1"/>
    <w:rsid w:val="00CB00CC"/>
    <w:rsid w:val="00CB45FD"/>
    <w:rsid w:val="00CB7FCB"/>
    <w:rsid w:val="00CE1216"/>
    <w:rsid w:val="00CE38E1"/>
    <w:rsid w:val="00D117DF"/>
    <w:rsid w:val="00D120C8"/>
    <w:rsid w:val="00D12618"/>
    <w:rsid w:val="00D138B6"/>
    <w:rsid w:val="00D152C7"/>
    <w:rsid w:val="00D31643"/>
    <w:rsid w:val="00D3729D"/>
    <w:rsid w:val="00D40AE7"/>
    <w:rsid w:val="00D442A4"/>
    <w:rsid w:val="00D5553B"/>
    <w:rsid w:val="00D674A8"/>
    <w:rsid w:val="00D77AF8"/>
    <w:rsid w:val="00D91378"/>
    <w:rsid w:val="00D94BF9"/>
    <w:rsid w:val="00DA2A0B"/>
    <w:rsid w:val="00DC0BA3"/>
    <w:rsid w:val="00DC4716"/>
    <w:rsid w:val="00DE5E72"/>
    <w:rsid w:val="00DE6A3C"/>
    <w:rsid w:val="00DF09FC"/>
    <w:rsid w:val="00DF137E"/>
    <w:rsid w:val="00DF5592"/>
    <w:rsid w:val="00E045F3"/>
    <w:rsid w:val="00E1407A"/>
    <w:rsid w:val="00E20429"/>
    <w:rsid w:val="00E22149"/>
    <w:rsid w:val="00E22E6B"/>
    <w:rsid w:val="00E33CE4"/>
    <w:rsid w:val="00E42526"/>
    <w:rsid w:val="00E42FBA"/>
    <w:rsid w:val="00E53FAF"/>
    <w:rsid w:val="00E664E0"/>
    <w:rsid w:val="00E744E0"/>
    <w:rsid w:val="00E86A2E"/>
    <w:rsid w:val="00EA6400"/>
    <w:rsid w:val="00EB7CE1"/>
    <w:rsid w:val="00EC1F81"/>
    <w:rsid w:val="00EC2600"/>
    <w:rsid w:val="00ED0CA5"/>
    <w:rsid w:val="00ED3FF8"/>
    <w:rsid w:val="00ED5A23"/>
    <w:rsid w:val="00ED6BE4"/>
    <w:rsid w:val="00ED6C45"/>
    <w:rsid w:val="00ED6DD9"/>
    <w:rsid w:val="00ED6E8B"/>
    <w:rsid w:val="00EE0309"/>
    <w:rsid w:val="00EF5B31"/>
    <w:rsid w:val="00F02ED4"/>
    <w:rsid w:val="00F1258D"/>
    <w:rsid w:val="00F14197"/>
    <w:rsid w:val="00F30B7F"/>
    <w:rsid w:val="00F32B60"/>
    <w:rsid w:val="00F459D5"/>
    <w:rsid w:val="00F47109"/>
    <w:rsid w:val="00F52888"/>
    <w:rsid w:val="00F52CCF"/>
    <w:rsid w:val="00F5765B"/>
    <w:rsid w:val="00F70830"/>
    <w:rsid w:val="00F73C86"/>
    <w:rsid w:val="00F77178"/>
    <w:rsid w:val="00F8270A"/>
    <w:rsid w:val="00F83459"/>
    <w:rsid w:val="00F85AFF"/>
    <w:rsid w:val="00F90118"/>
    <w:rsid w:val="00FB3C78"/>
    <w:rsid w:val="00FB5B72"/>
    <w:rsid w:val="00FB72B7"/>
    <w:rsid w:val="00FC36F6"/>
    <w:rsid w:val="00FC7DC3"/>
    <w:rsid w:val="00FD69C6"/>
    <w:rsid w:val="00FF20F0"/>
    <w:rsid w:val="0BA03A25"/>
    <w:rsid w:val="0D1B7178"/>
    <w:rsid w:val="20B91D3F"/>
    <w:rsid w:val="234B6091"/>
    <w:rsid w:val="31626EB9"/>
    <w:rsid w:val="320F3D13"/>
    <w:rsid w:val="32FF1357"/>
    <w:rsid w:val="337056C0"/>
    <w:rsid w:val="371476E5"/>
    <w:rsid w:val="437E32C4"/>
    <w:rsid w:val="498A56C3"/>
    <w:rsid w:val="4A1D0F98"/>
    <w:rsid w:val="51F029F2"/>
    <w:rsid w:val="56DF5878"/>
    <w:rsid w:val="574D2828"/>
    <w:rsid w:val="5CFB47C6"/>
    <w:rsid w:val="67FA4377"/>
    <w:rsid w:val="69CF152A"/>
    <w:rsid w:val="6A1659F9"/>
    <w:rsid w:val="6E391CFA"/>
    <w:rsid w:val="75FC62D1"/>
    <w:rsid w:val="7A1B4AAE"/>
    <w:rsid w:val="7C7A310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7">
    <w:name w:val="Hyperlink"/>
    <w:basedOn w:val="6"/>
    <w:semiHidden/>
    <w:unhideWhenUsed/>
    <w:qFormat/>
    <w:uiPriority w:val="99"/>
    <w:rPr>
      <w:color w:val="0000FF" w:themeColor="hyperlink"/>
      <w:u w:val="single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6"/>
    <w:link w:val="3"/>
    <w:semiHidden/>
    <w:qFormat/>
    <w:uiPriority w:val="99"/>
    <w:rPr>
      <w:rFonts w:ascii="Calibri" w:hAnsi="Calibri" w:eastAsia="宋体" w:cs="Calibri"/>
      <w:sz w:val="18"/>
      <w:szCs w:val="18"/>
    </w:rPr>
  </w:style>
  <w:style w:type="character" w:customStyle="1" w:styleId="10">
    <w:name w:val="页脚 Char"/>
    <w:basedOn w:val="6"/>
    <w:link w:val="2"/>
    <w:semiHidden/>
    <w:qFormat/>
    <w:uiPriority w:val="99"/>
    <w:rPr>
      <w:rFonts w:ascii="Calibri" w:hAnsi="Calibri" w:eastAsia="宋体" w:cs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668</Words>
  <Characters>1072</Characters>
  <Lines>9</Lines>
  <Paragraphs>2</Paragraphs>
  <TotalTime>8</TotalTime>
  <ScaleCrop>false</ScaleCrop>
  <LinksUpToDate>false</LinksUpToDate>
  <CharactersWithSpaces>1082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2020-08-25T02:26:00Z</dcterms:created>
  <dc:creator>未定义</dc:creator>
  <cp:lastModifiedBy>佳慧</cp:lastModifiedBy>
  <cp:lastPrinted>2024-07-17T00:39:00Z</cp:lastPrinted>
  <dcterms:modified xsi:type="dcterms:W3CDTF">2025-05-14T01:09:53Z</dcterms:modified>
  <cp:revision>138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D250E234F83F4084AE5437AB1204090C_12</vt:lpwstr>
  </property>
  <property fmtid="{D5CDD505-2E9C-101B-9397-08002B2CF9AE}" pid="4" name="KSOTemplateDocerSaveRecord">
    <vt:lpwstr>eyJoZGlkIjoiMmJlYjhiNmQ3MGE4NGFiMTRlOTZhMjA0M2U3Yzg0NjciLCJ1c2VySWQiOiIyODI2OTI1NzkifQ==</vt:lpwstr>
  </property>
</Properties>
</file>