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bookmarkStart w:id="7" w:name="_GoBack"/>
      <w:bookmarkEnd w:id="7"/>
    </w:p>
    <w:p>
      <w:pPr>
        <w:widowControl w:val="0"/>
        <w:spacing w:after="120" w:line="360" w:lineRule="auto"/>
        <w:ind w:left="420" w:leftChars="200"/>
        <w:jc w:val="center"/>
        <w:rPr>
          <w:rFonts w:ascii="宋体" w:hAnsi="宋体" w:cs="Microsoft JhengHei"/>
          <w:b/>
          <w:position w:val="-1"/>
          <w:sz w:val="36"/>
          <w:szCs w:val="36"/>
        </w:rPr>
      </w:pPr>
      <w:r>
        <w:rPr>
          <w:rFonts w:hint="eastAsia" w:ascii="宋体" w:hAnsi="宋体" w:cs="Microsoft JhengHei"/>
          <w:b/>
          <w:position w:val="-1"/>
          <w:sz w:val="36"/>
          <w:szCs w:val="36"/>
        </w:rPr>
        <w:t>报价方案评审标准</w:t>
      </w:r>
    </w:p>
    <w:tbl>
      <w:tblPr>
        <w:tblStyle w:val="7"/>
        <w:tblW w:w="13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693"/>
        <w:gridCol w:w="9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314" w:type="dxa"/>
            <w:vMerge w:val="restart"/>
            <w:shd w:val="clear" w:color="auto" w:fill="auto"/>
            <w:vAlign w:val="center"/>
          </w:tcPr>
          <w:p>
            <w:pPr>
              <w:spacing w:line="240" w:lineRule="auto"/>
              <w:jc w:val="center"/>
              <w:rPr>
                <w:rFonts w:ascii="宋体" w:hAnsi="宋体" w:cs="Helvetica"/>
                <w:b/>
                <w:bCs/>
                <w:kern w:val="0"/>
                <w:szCs w:val="21"/>
              </w:rPr>
            </w:pPr>
            <w:r>
              <w:rPr>
                <w:rFonts w:ascii="宋体" w:hAnsi="宋体" w:cs="Microsoft JhengHei"/>
                <w:b/>
                <w:position w:val="-1"/>
                <w:szCs w:val="21"/>
              </w:rPr>
              <w:t>评审因素</w:t>
            </w:r>
          </w:p>
        </w:tc>
        <w:tc>
          <w:tcPr>
            <w:tcW w:w="12436" w:type="dxa"/>
            <w:gridSpan w:val="2"/>
            <w:vMerge w:val="restart"/>
            <w:shd w:val="clear" w:color="auto" w:fill="auto"/>
            <w:vAlign w:val="center"/>
          </w:tcPr>
          <w:p>
            <w:pPr>
              <w:spacing w:line="240" w:lineRule="auto"/>
              <w:jc w:val="center"/>
              <w:rPr>
                <w:rFonts w:ascii="宋体" w:hAnsi="宋体" w:cs="Helvetica"/>
                <w:b/>
                <w:bCs/>
                <w:kern w:val="0"/>
                <w:szCs w:val="21"/>
              </w:rPr>
            </w:pPr>
            <w:r>
              <w:rPr>
                <w:rFonts w:ascii="宋体" w:hAnsi="宋体" w:cs="Microsoft JhengHei"/>
                <w:b/>
                <w:position w:val="-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12436" w:type="dxa"/>
            <w:gridSpan w:val="2"/>
            <w:vMerge w:val="continue"/>
            <w:shd w:val="clear" w:color="auto" w:fill="auto"/>
            <w:vAlign w:val="center"/>
          </w:tcPr>
          <w:p>
            <w:pPr>
              <w:spacing w:line="240" w:lineRule="auto"/>
              <w:jc w:val="center"/>
              <w:rPr>
                <w:rFonts w:ascii="宋体" w:hAnsi="宋体" w:cs="Helvetic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240" w:lineRule="auto"/>
              <w:jc w:val="center"/>
              <w:rPr>
                <w:rFonts w:ascii="宋体" w:hAnsi="宋体" w:cs="Helvetica"/>
                <w:b/>
                <w:bCs/>
                <w:kern w:val="0"/>
                <w:szCs w:val="21"/>
              </w:rPr>
            </w:pPr>
            <w:r>
              <w:rPr>
                <w:rFonts w:hint="eastAsia" w:ascii="宋体" w:hAnsi="宋体" w:cs="Microsoft JhengHei"/>
                <w:szCs w:val="21"/>
              </w:rPr>
              <w:t>资质审查</w:t>
            </w:r>
          </w:p>
        </w:tc>
        <w:tc>
          <w:tcPr>
            <w:tcW w:w="12436" w:type="dxa"/>
            <w:gridSpan w:val="2"/>
            <w:shd w:val="clear" w:color="auto" w:fill="auto"/>
            <w:vAlign w:val="center"/>
          </w:tcPr>
          <w:p>
            <w:pPr>
              <w:widowControl w:val="0"/>
              <w:spacing w:line="240" w:lineRule="auto"/>
              <w:jc w:val="both"/>
              <w:rPr>
                <w:rFonts w:ascii="宋体" w:hAnsi="宋体" w:cs="Helvetica"/>
                <w:b/>
                <w:bCs/>
                <w:kern w:val="0"/>
                <w:szCs w:val="21"/>
              </w:rPr>
            </w:pPr>
            <w:r>
              <w:rPr>
                <w:rFonts w:hint="eastAsia" w:ascii="宋体" w:hAnsi="宋体" w:cs="宋体"/>
                <w:bCs/>
                <w:szCs w:val="21"/>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restart"/>
            <w:shd w:val="clear" w:color="auto" w:fill="auto"/>
            <w:vAlign w:val="center"/>
          </w:tcPr>
          <w:p>
            <w:pPr>
              <w:spacing w:line="240" w:lineRule="auto"/>
              <w:jc w:val="center"/>
              <w:rPr>
                <w:rFonts w:ascii="宋体" w:hAnsi="宋体" w:cs="Microsoft JhengHei"/>
                <w:szCs w:val="21"/>
              </w:rPr>
            </w:pPr>
            <w:r>
              <w:rPr>
                <w:rFonts w:ascii="宋体" w:hAnsi="宋体" w:cs="Microsoft JhengHei"/>
                <w:szCs w:val="21"/>
              </w:rPr>
              <w:t>技术部分</w:t>
            </w:r>
          </w:p>
          <w:p>
            <w:pPr>
              <w:spacing w:line="240" w:lineRule="auto"/>
              <w:jc w:val="center"/>
              <w:rPr>
                <w:rFonts w:ascii="宋体" w:hAnsi="宋体" w:cs="Helvetica"/>
                <w:b/>
                <w:bCs/>
                <w:kern w:val="0"/>
                <w:szCs w:val="21"/>
              </w:rPr>
            </w:pPr>
            <w:r>
              <w:rPr>
                <w:rFonts w:hint="eastAsia" w:ascii="宋体" w:hAnsi="宋体" w:cs="Microsoft JhengHei"/>
                <w:szCs w:val="21"/>
              </w:rPr>
              <w:t>（</w:t>
            </w:r>
            <w:r>
              <w:rPr>
                <w:rFonts w:hint="eastAsia" w:ascii="宋体" w:hAnsi="宋体" w:cs="Microsoft JhengHei"/>
                <w:szCs w:val="21"/>
                <w:lang w:val="en-US" w:eastAsia="zh-CN"/>
              </w:rPr>
              <w:t>35</w:t>
            </w:r>
            <w:r>
              <w:rPr>
                <w:rFonts w:hint="eastAsia" w:ascii="宋体" w:hAnsi="宋体" w:cs="Microsoft JhengHei"/>
                <w:szCs w:val="21"/>
              </w:rPr>
              <w:t>分）</w:t>
            </w:r>
          </w:p>
        </w:tc>
        <w:tc>
          <w:tcPr>
            <w:tcW w:w="2693" w:type="dxa"/>
            <w:shd w:val="clear" w:color="auto" w:fill="auto"/>
            <w:vAlign w:val="center"/>
          </w:tcPr>
          <w:p>
            <w:pPr>
              <w:widowControl w:val="0"/>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对项目的理解</w:t>
            </w:r>
          </w:p>
          <w:p>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（20分）</w:t>
            </w:r>
          </w:p>
        </w:tc>
        <w:tc>
          <w:tcPr>
            <w:tcW w:w="9743" w:type="dxa"/>
            <w:shd w:val="clear" w:color="auto" w:fill="auto"/>
            <w:vAlign w:val="center"/>
          </w:tcPr>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对项目理解全面、准确，认识深刻，</w:t>
            </w:r>
            <w:r>
              <w:rPr>
                <w:rFonts w:ascii="宋体" w:hAnsi="宋体" w:cs="宋体"/>
                <w:bCs/>
                <w:color w:val="000000" w:themeColor="text1"/>
                <w:szCs w:val="21"/>
                <w14:textFill>
                  <w14:solidFill>
                    <w14:schemeClr w14:val="tx1"/>
                  </w14:solidFill>
                </w14:textFill>
              </w:rPr>
              <w:t>完全满足且优于用户需求得</w:t>
            </w:r>
            <w:r>
              <w:rPr>
                <w:rFonts w:hint="eastAsia" w:ascii="宋体" w:hAnsi="宋体" w:cs="宋体"/>
                <w:bCs/>
                <w:color w:val="000000" w:themeColor="text1"/>
                <w:szCs w:val="21"/>
                <w14:textFill>
                  <w14:solidFill>
                    <w14:schemeClr w14:val="tx1"/>
                  </w14:solidFill>
                </w14:textFill>
              </w:rPr>
              <w:t>20</w:t>
            </w:r>
            <w:r>
              <w:rPr>
                <w:rFonts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对项目理解较透彻，认识较深刻，</w:t>
            </w:r>
            <w:r>
              <w:rPr>
                <w:rFonts w:ascii="宋体" w:hAnsi="宋体" w:cs="宋体"/>
                <w:bCs/>
                <w:color w:val="000000" w:themeColor="text1"/>
                <w:szCs w:val="21"/>
                <w14:textFill>
                  <w14:solidFill>
                    <w14:schemeClr w14:val="tx1"/>
                  </w14:solidFill>
                </w14:textFill>
              </w:rPr>
              <w:t>满足用户需求得</w:t>
            </w:r>
            <w:r>
              <w:rPr>
                <w:rFonts w:hint="eastAsia" w:ascii="宋体" w:hAnsi="宋体" w:cs="宋体"/>
                <w:bCs/>
                <w:color w:val="000000" w:themeColor="text1"/>
                <w:szCs w:val="21"/>
                <w14:textFill>
                  <w14:solidFill>
                    <w14:schemeClr w14:val="tx1"/>
                  </w14:solidFill>
                </w14:textFill>
              </w:rPr>
              <w:t>16</w:t>
            </w:r>
            <w:r>
              <w:rPr>
                <w:rFonts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对项目理解一般，认识一般，</w:t>
            </w:r>
            <w:r>
              <w:rPr>
                <w:rFonts w:ascii="宋体" w:hAnsi="宋体" w:cs="宋体"/>
                <w:bCs/>
                <w:color w:val="000000" w:themeColor="text1"/>
                <w:szCs w:val="21"/>
                <w14:textFill>
                  <w14:solidFill>
                    <w14:schemeClr w14:val="tx1"/>
                  </w14:solidFill>
                </w14:textFill>
              </w:rPr>
              <w:t>基本满足用户需求得</w:t>
            </w:r>
            <w:r>
              <w:rPr>
                <w:rFonts w:hint="eastAsia" w:ascii="宋体" w:hAnsi="宋体" w:cs="宋体"/>
                <w:bCs/>
                <w:color w:val="000000" w:themeColor="text1"/>
                <w:szCs w:val="21"/>
                <w14:textFill>
                  <w14:solidFill>
                    <w14:schemeClr w14:val="tx1"/>
                  </w14:solidFill>
                </w14:textFill>
              </w:rPr>
              <w:t>12</w:t>
            </w:r>
            <w:r>
              <w:rPr>
                <w:rFonts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对项目理解较差，认识较差，不太满足用户需求得8分；</w:t>
            </w:r>
          </w:p>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完全没有相关内容的，本评分项得</w:t>
            </w:r>
            <w:r>
              <w:rPr>
                <w:rFonts w:ascii="宋体" w:hAnsi="宋体" w:cs="宋体"/>
                <w:bCs/>
                <w:color w:val="000000" w:themeColor="text1"/>
                <w:szCs w:val="21"/>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pStyle w:val="12"/>
              <w:spacing w:before="1" w:line="240" w:lineRule="atLeast"/>
              <w:ind w:left="102"/>
              <w:jc w:val="center"/>
              <w:rPr>
                <w:rFonts w:asciiTheme="minorEastAsia" w:hAnsiTheme="minorEastAsia" w:eastAsiaTheme="minorEastAsia"/>
                <w:color w:val="000000" w:themeColor="text1"/>
                <w:szCs w:val="21"/>
                <w:lang w:eastAsia="en-US"/>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进度</w:t>
            </w:r>
            <w:r>
              <w:rPr>
                <w:rFonts w:hint="eastAsia" w:asciiTheme="minorEastAsia" w:hAnsiTheme="minorEastAsia" w:eastAsiaTheme="minorEastAsia"/>
                <w:color w:val="000000" w:themeColor="text1"/>
                <w:szCs w:val="21"/>
                <w:lang w:eastAsia="en-US"/>
                <w14:textFill>
                  <w14:solidFill>
                    <w14:schemeClr w14:val="tx1"/>
                  </w14:solidFill>
                </w14:textFill>
              </w:rPr>
              <w:t>控制方案</w:t>
            </w:r>
          </w:p>
          <w:p>
            <w:pPr>
              <w:widowControl w:val="0"/>
              <w:spacing w:line="240" w:lineRule="auto"/>
              <w:jc w:val="center"/>
              <w:rPr>
                <w:rFonts w:ascii="宋体" w:hAnsi="宋体"/>
                <w:color w:val="000000" w:themeColor="text1"/>
                <w:szCs w:val="21"/>
                <w14:textFill>
                  <w14:solidFill>
                    <w14:schemeClr w14:val="tx1"/>
                  </w14:solidFill>
                </w14:textFill>
              </w:rPr>
            </w:pPr>
            <w:r>
              <w:rPr>
                <w:rFonts w:asciiTheme="minorEastAsia" w:hAnsiTheme="minorEastAsia" w:eastAsiaTheme="minorEastAsia"/>
                <w:color w:val="000000" w:themeColor="text1"/>
                <w:szCs w:val="21"/>
                <w:lang w:eastAsia="en-US"/>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10</w:t>
            </w:r>
            <w:r>
              <w:rPr>
                <w:rFonts w:asciiTheme="minorEastAsia" w:hAnsiTheme="minorEastAsia" w:eastAsiaTheme="minorEastAsia"/>
                <w:color w:val="000000" w:themeColor="text1"/>
                <w:szCs w:val="21"/>
                <w:lang w:eastAsia="en-US"/>
                <w14:textFill>
                  <w14:solidFill>
                    <w14:schemeClr w14:val="tx1"/>
                  </w14:solidFill>
                </w14:textFill>
              </w:rPr>
              <w:t>分）</w:t>
            </w:r>
          </w:p>
        </w:tc>
        <w:tc>
          <w:tcPr>
            <w:tcW w:w="9743" w:type="dxa"/>
            <w:shd w:val="clear" w:color="auto" w:fill="auto"/>
            <w:vAlign w:val="center"/>
          </w:tcPr>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根据“项目服务需求”提供响应方案，应包括对项目的进度控制方法和措施，以及处理进度延迟的能力和策略：</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方案详细，科学、合理，得10分；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方案比较详细，比较科学、合理，得8分；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方案较详细，合理性一般,得6分；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方案不够详细，合理性较差,得4分；</w:t>
            </w:r>
          </w:p>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未提供或内容偏离项目实际需求，得0分。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质量控制方案</w:t>
            </w:r>
          </w:p>
          <w:p>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9743" w:type="dxa"/>
            <w:shd w:val="clear" w:color="auto" w:fill="auto"/>
            <w:vAlign w:val="center"/>
          </w:tcPr>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根据“项目服务需求”提供响应方案，应对项目提供质量控制措施：</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方案详细，科学、合理，得</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方案比较详细，比较科学、合理，得</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方案较详细，合理性一般，得</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方案不够详细，合理性较差，得</w:t>
            </w:r>
            <w:r>
              <w:rPr>
                <w:rFonts w:hint="eastAsia" w:ascii="宋体" w:hAnsi="宋体" w:cs="宋体"/>
                <w:bCs/>
                <w:color w:val="000000" w:themeColor="text1"/>
                <w:szCs w:val="21"/>
                <w:lang w:val="en-US" w:eastAsia="zh-CN"/>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分；</w:t>
            </w:r>
          </w:p>
          <w:p>
            <w:pPr>
              <w:widowControl w:val="0"/>
              <w:spacing w:line="240" w:lineRule="auto"/>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未提供或内容偏离项目实际需求，得0分。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restart"/>
            <w:shd w:val="clear" w:color="auto" w:fill="auto"/>
            <w:vAlign w:val="center"/>
          </w:tcPr>
          <w:p>
            <w:pPr>
              <w:spacing w:line="240" w:lineRule="auto"/>
              <w:jc w:val="center"/>
              <w:rPr>
                <w:rFonts w:ascii="宋体" w:hAnsi="宋体" w:cs="Microsoft JhengHei"/>
                <w:szCs w:val="21"/>
              </w:rPr>
            </w:pPr>
            <w:r>
              <w:rPr>
                <w:rFonts w:ascii="宋体" w:hAnsi="宋体" w:cs="Microsoft JhengHei"/>
                <w:szCs w:val="21"/>
              </w:rPr>
              <w:t>商务部分</w:t>
            </w:r>
          </w:p>
          <w:p>
            <w:pPr>
              <w:spacing w:line="240" w:lineRule="auto"/>
              <w:jc w:val="center"/>
              <w:rPr>
                <w:rFonts w:ascii="宋体" w:hAnsi="宋体" w:cs="Microsoft JhengHei"/>
                <w:szCs w:val="21"/>
              </w:rPr>
            </w:pPr>
            <w:r>
              <w:rPr>
                <w:rFonts w:hint="eastAsia" w:ascii="宋体" w:hAnsi="宋体" w:cs="Microsoft JhengHei"/>
                <w:szCs w:val="21"/>
              </w:rPr>
              <w:t>（</w:t>
            </w:r>
            <w:r>
              <w:rPr>
                <w:rFonts w:hint="eastAsia" w:ascii="宋体" w:hAnsi="宋体" w:cs="Microsoft JhengHei"/>
                <w:szCs w:val="21"/>
                <w:lang w:val="en-US" w:eastAsia="zh-CN"/>
              </w:rPr>
              <w:t>45</w:t>
            </w:r>
            <w:r>
              <w:rPr>
                <w:rFonts w:hint="eastAsia" w:ascii="宋体" w:hAnsi="宋体" w:cs="Microsoft JhengHei"/>
                <w:szCs w:val="21"/>
              </w:rPr>
              <w:t>分）</w:t>
            </w:r>
          </w:p>
        </w:tc>
        <w:tc>
          <w:tcPr>
            <w:tcW w:w="2693" w:type="dxa"/>
            <w:shd w:val="clear" w:color="auto" w:fill="auto"/>
            <w:vAlign w:val="center"/>
          </w:tcPr>
          <w:p>
            <w:pPr>
              <w:widowControl w:val="0"/>
              <w:spacing w:line="24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类似项目业绩</w:t>
            </w:r>
          </w:p>
          <w:p>
            <w:pPr>
              <w:spacing w:line="24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分）</w:t>
            </w:r>
          </w:p>
        </w:tc>
        <w:tc>
          <w:tcPr>
            <w:tcW w:w="9743" w:type="dxa"/>
            <w:shd w:val="clear" w:color="auto" w:fill="auto"/>
            <w:vAlign w:val="center"/>
          </w:tcPr>
          <w:p>
            <w:pPr>
              <w:spacing w:line="240" w:lineRule="auto"/>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供应商20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月1日至报价文件递交截止之日止，独立完成类似项目</w:t>
            </w:r>
            <w:r>
              <w:rPr>
                <w:rFonts w:hint="eastAsia" w:asciiTheme="minorEastAsia" w:hAnsiTheme="minorEastAsia" w:eastAsiaTheme="minorEastAsia" w:cstheme="minorEastAsia"/>
                <w:szCs w:val="21"/>
                <w:lang w:eastAsia="zh-CN"/>
              </w:rPr>
              <w:t>：</w:t>
            </w:r>
          </w:p>
          <w:p>
            <w:pPr>
              <w:spacing w:line="240" w:lineRule="auto"/>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1.国家级类似项目的，每个得5分</w:t>
            </w:r>
          </w:p>
          <w:p>
            <w:pPr>
              <w:spacing w:line="240" w:lineRule="auto"/>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2.省级政府主管部门委托的，每个</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w:t>
            </w:r>
          </w:p>
          <w:p>
            <w:pPr>
              <w:spacing w:line="240" w:lineRule="auto"/>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3.市级政府主管部门委托的，每个</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w:t>
            </w:r>
          </w:p>
          <w:p>
            <w:pPr>
              <w:spacing w:line="240" w:lineRule="auto"/>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4.其他，每个得1分。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Cs w:val="21"/>
              </w:rPr>
            </w:pPr>
            <w:bookmarkStart w:id="0" w:name="OLE_LINK3"/>
            <w:r>
              <w:rPr>
                <w:rFonts w:hint="eastAsia" w:asciiTheme="minorEastAsia" w:hAnsiTheme="minorEastAsia" w:eastAsiaTheme="minorEastAsia" w:cstheme="minorEastAsia"/>
                <w:szCs w:val="21"/>
                <w:lang w:val="en-US" w:eastAsia="zh-CN"/>
              </w:rPr>
              <w:t>本项累计最高15分</w:t>
            </w:r>
            <w:bookmarkEnd w:id="0"/>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widowControl w:val="0"/>
              <w:spacing w:line="24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拟投入本项目的项目负责人情况（</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分）</w:t>
            </w:r>
          </w:p>
        </w:tc>
        <w:tc>
          <w:tcPr>
            <w:tcW w:w="9743" w:type="dxa"/>
            <w:shd w:val="clear" w:color="auto" w:fill="auto"/>
            <w:vAlign w:val="center"/>
          </w:tcPr>
          <w:p>
            <w:pPr>
              <w:spacing w:line="240" w:lineRule="auto"/>
              <w:jc w:val="both"/>
              <w:rPr>
                <w:rFonts w:hint="eastAsia" w:asciiTheme="minorEastAsia" w:hAnsiTheme="minorEastAsia" w:eastAsiaTheme="minorEastAsia" w:cstheme="minorEastAsia"/>
              </w:rPr>
            </w:pPr>
            <w:bookmarkStart w:id="1" w:name="OLE_LINK2"/>
            <w:r>
              <w:rPr>
                <w:rFonts w:hint="eastAsia" w:asciiTheme="minorEastAsia" w:hAnsiTheme="minorEastAsia" w:eastAsiaTheme="minorEastAsia" w:cstheme="minorEastAsia"/>
              </w:rPr>
              <w:t>拟投入本项目的项目负责人具备以下条件的：</w:t>
            </w:r>
          </w:p>
          <w:p>
            <w:pPr>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w:t>
            </w:r>
            <w:bookmarkStart w:id="2" w:name="OLE_LINK1"/>
            <w:r>
              <w:rPr>
                <w:rFonts w:hint="eastAsia" w:asciiTheme="minorEastAsia" w:hAnsiTheme="minorEastAsia" w:eastAsiaTheme="minorEastAsia" w:cstheme="minorEastAsia"/>
              </w:rPr>
              <w:t>项目相关专业</w:t>
            </w:r>
            <w:bookmarkStart w:id="3" w:name="OLE_LINK6"/>
            <w:r>
              <w:rPr>
                <w:rFonts w:hint="eastAsia" w:asciiTheme="minorEastAsia" w:hAnsiTheme="minorEastAsia" w:eastAsiaTheme="minorEastAsia" w:cstheme="minorEastAsia"/>
                <w:lang w:eastAsia="zh-CN"/>
              </w:rPr>
              <w:t>博士学位</w:t>
            </w:r>
            <w:bookmarkEnd w:id="3"/>
            <w:bookmarkStart w:id="4" w:name="OLE_LINK7"/>
            <w:r>
              <w:rPr>
                <w:rFonts w:hint="eastAsia" w:asciiTheme="minorEastAsia" w:hAnsiTheme="minorEastAsia" w:eastAsiaTheme="minorEastAsia" w:cstheme="minorEastAsia"/>
                <w:lang w:eastAsia="zh-CN"/>
              </w:rPr>
              <w:t>、正</w:t>
            </w:r>
            <w:r>
              <w:rPr>
                <w:rFonts w:hint="eastAsia" w:asciiTheme="minorEastAsia" w:hAnsiTheme="minorEastAsia" w:eastAsiaTheme="minorEastAsia" w:cstheme="minorEastAsia"/>
              </w:rPr>
              <w:t>高级</w:t>
            </w:r>
            <w:r>
              <w:rPr>
                <w:rFonts w:hint="eastAsia" w:asciiTheme="minorEastAsia" w:hAnsiTheme="minorEastAsia" w:eastAsiaTheme="minorEastAsia" w:cstheme="minorEastAsia"/>
                <w:lang w:eastAsia="zh-CN"/>
              </w:rPr>
              <w:t>职称</w:t>
            </w:r>
            <w:bookmarkEnd w:id="4"/>
            <w:r>
              <w:rPr>
                <w:rFonts w:hint="eastAsia" w:asciiTheme="minorEastAsia" w:hAnsiTheme="minorEastAsia" w:eastAsiaTheme="minorEastAsia" w:cstheme="minorEastAsia"/>
              </w:rPr>
              <w:t>的</w:t>
            </w:r>
            <w:r>
              <w:rPr>
                <w:rFonts w:hint="eastAsia" w:asciiTheme="minorEastAsia" w:hAnsiTheme="minorEastAsia" w:eastAsiaTheme="minorEastAsia" w:cstheme="minorEastAsia"/>
                <w:lang w:eastAsia="zh-CN"/>
              </w:rPr>
              <w:t>，每</w:t>
            </w:r>
            <w:bookmarkStart w:id="5" w:name="OLE_LINK8"/>
            <w:r>
              <w:rPr>
                <w:rFonts w:hint="eastAsia" w:asciiTheme="minorEastAsia" w:hAnsiTheme="minorEastAsia" w:eastAsiaTheme="minorEastAsia" w:cstheme="minorEastAsia"/>
                <w:lang w:eastAsia="zh-CN"/>
              </w:rPr>
              <w:t>人次</w:t>
            </w:r>
            <w:bookmarkEnd w:id="5"/>
            <w:r>
              <w:rPr>
                <w:rFonts w:hint="eastAsia" w:asciiTheme="minorEastAsia" w:hAnsiTheme="minorEastAsia" w:eastAsiaTheme="minorEastAsia" w:cstheme="minorEastAsia"/>
                <w:lang w:eastAsia="zh-CN"/>
              </w:rPr>
              <w:t>得</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bookmarkEnd w:id="2"/>
            <w:r>
              <w:rPr>
                <w:rFonts w:hint="eastAsia" w:asciiTheme="minorEastAsia" w:hAnsiTheme="minorEastAsia" w:eastAsiaTheme="minorEastAsia" w:cstheme="minorEastAsia"/>
              </w:rPr>
              <w:t>；</w:t>
            </w:r>
          </w:p>
          <w:p>
            <w:pPr>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bookmarkStart w:id="6" w:name="OLE_LINK9"/>
            <w:r>
              <w:rPr>
                <w:rFonts w:hint="eastAsia" w:asciiTheme="minorEastAsia" w:hAnsiTheme="minorEastAsia" w:eastAsiaTheme="minorEastAsia" w:cstheme="minorEastAsia"/>
              </w:rPr>
              <w:t>具有项目相关专业</w:t>
            </w:r>
            <w:r>
              <w:rPr>
                <w:rFonts w:hint="eastAsia" w:asciiTheme="minorEastAsia" w:hAnsiTheme="minorEastAsia" w:eastAsiaTheme="minorEastAsia" w:cstheme="minorEastAsia"/>
                <w:lang w:eastAsia="zh-CN"/>
              </w:rPr>
              <w:t>博士学位或</w:t>
            </w:r>
            <w:r>
              <w:rPr>
                <w:rFonts w:hint="eastAsia" w:asciiTheme="minorEastAsia" w:hAnsiTheme="minorEastAsia" w:eastAsiaTheme="minorEastAsia" w:cstheme="minorEastAsia"/>
              </w:rPr>
              <w:t>高级</w:t>
            </w:r>
            <w:r>
              <w:rPr>
                <w:rFonts w:hint="eastAsia" w:asciiTheme="minorEastAsia" w:hAnsiTheme="minorEastAsia" w:eastAsiaTheme="minorEastAsia" w:cstheme="minorEastAsia"/>
                <w:lang w:eastAsia="zh-CN"/>
              </w:rPr>
              <w:t>职称</w:t>
            </w:r>
            <w:r>
              <w:rPr>
                <w:rFonts w:hint="eastAsia" w:asciiTheme="minorEastAsia" w:hAnsiTheme="minorEastAsia" w:eastAsiaTheme="minorEastAsia" w:cstheme="minorEastAsia"/>
              </w:rPr>
              <w:t>的</w:t>
            </w:r>
            <w:bookmarkEnd w:id="6"/>
            <w:r>
              <w:rPr>
                <w:rFonts w:hint="eastAsia" w:asciiTheme="minorEastAsia" w:hAnsiTheme="minorEastAsia" w:eastAsiaTheme="minorEastAsia" w:cstheme="minorEastAsia"/>
                <w:lang w:eastAsia="zh-CN"/>
              </w:rPr>
              <w:t>，每人次</w:t>
            </w:r>
            <w:r>
              <w:rPr>
                <w:rFonts w:hint="eastAsia" w:asciiTheme="minorEastAsia" w:hAnsiTheme="minorEastAsia" w:eastAsiaTheme="minorEastAsia" w:cstheme="minorEastAsia"/>
              </w:rPr>
              <w:t>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p>
            <w:pPr>
              <w:widowControl w:val="0"/>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3.具有项目相关</w:t>
            </w:r>
            <w:r>
              <w:rPr>
                <w:rFonts w:hint="eastAsia" w:asciiTheme="minorEastAsia" w:hAnsiTheme="minorEastAsia" w:eastAsiaTheme="minorEastAsia" w:cstheme="minorEastAsia"/>
                <w:lang w:eastAsia="zh-CN"/>
              </w:rPr>
              <w:t>中</w:t>
            </w:r>
            <w:r>
              <w:rPr>
                <w:rFonts w:hint="eastAsia" w:asciiTheme="minorEastAsia" w:hAnsiTheme="minorEastAsia" w:eastAsiaTheme="minorEastAsia" w:cstheme="minorEastAsia"/>
              </w:rPr>
              <w:t>级</w:t>
            </w:r>
            <w:r>
              <w:rPr>
                <w:rFonts w:hint="eastAsia" w:asciiTheme="minorEastAsia" w:hAnsiTheme="minorEastAsia" w:eastAsiaTheme="minorEastAsia" w:cstheme="minorEastAsia"/>
                <w:lang w:eastAsia="zh-CN"/>
              </w:rPr>
              <w:t>职称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lang w:eastAsia="zh-CN"/>
              </w:rPr>
              <w:t>每人次</w:t>
            </w:r>
            <w:r>
              <w:rPr>
                <w:rFonts w:hint="eastAsia" w:asciiTheme="minorEastAsia" w:hAnsiTheme="minorEastAsia" w:eastAsiaTheme="minorEastAsia" w:cstheme="minorEastAsia"/>
              </w:rPr>
              <w:t>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分</w:t>
            </w:r>
          </w:p>
          <w:p>
            <w:pPr>
              <w:widowControl w:val="0"/>
              <w:spacing w:line="24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本项累计最高</w:t>
            </w:r>
            <w:r>
              <w:rPr>
                <w:rFonts w:hint="eastAsia" w:asciiTheme="minorEastAsia" w:hAnsiTheme="minorEastAsia" w:eastAsiaTheme="minorEastAsia" w:cstheme="minorEastAsia"/>
                <w:lang w:val="en-US" w:eastAsia="zh-CN"/>
              </w:rPr>
              <w:t>10分</w:t>
            </w:r>
            <w:r>
              <w:rPr>
                <w:rFonts w:hint="eastAsia" w:asciiTheme="minorEastAsia" w:hAnsiTheme="minorEastAsia" w:eastAsiaTheme="minorEastAsia" w:cstheme="minorEastAsia"/>
                <w:lang w:eastAsia="zh-CN"/>
              </w:rPr>
              <w:t>。</w:t>
            </w:r>
          </w:p>
          <w:bookmarkEnd w:id="1"/>
          <w:p>
            <w:pPr>
              <w:widowControl w:val="0"/>
              <w:spacing w:line="240" w:lineRule="auto"/>
              <w:jc w:val="both"/>
              <w:rPr>
                <w:rFonts w:hint="eastAsia" w:asciiTheme="minorEastAsia" w:hAnsiTheme="minorEastAsia" w:eastAsiaTheme="minorEastAsia" w:cstheme="minorEastAsia"/>
                <w:szCs w:val="21"/>
              </w:rPr>
            </w:pPr>
            <w:r>
              <w:rPr>
                <w:rFonts w:hint="eastAsia" w:ascii="宋体" w:hAnsi="宋体" w:cs="宋体"/>
                <w:szCs w:val="21"/>
              </w:rPr>
              <w:t>注：同一人获得多个职称的按最高职称计算，须同时提供以上职称证明材料及以上人员在供应商单位任职的外部证明材料（报价文件递交截止日的最近6个月中任意一个月在供应商单位的社保缴费记录；如该人员依法免税或不需要缴纳社会保障资金的，须提供相应证明材料）</w:t>
            </w:r>
            <w:r>
              <w:rPr>
                <w:rFonts w:hint="eastAsia" w:ascii="宋体" w:hAnsi="宋体"/>
                <w:szCs w:val="21"/>
              </w:rPr>
              <w:t>。</w:t>
            </w:r>
            <w:r>
              <w:rPr>
                <w:rFonts w:hint="eastAsia" w:ascii="宋体" w:hAnsi="宋体" w:cs="宋体"/>
                <w:szCs w:val="21"/>
              </w:rPr>
              <w:t>以上材料如提供的复印件不清晰或缺漏的不予计分。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拟投入本项目的主要技术人员情况（项目负责人除外）（</w:t>
            </w:r>
            <w:r>
              <w:rPr>
                <w:rFonts w:hint="eastAsia" w:ascii="宋体" w:hAnsi="宋体"/>
                <w:szCs w:val="21"/>
                <w:lang w:val="en-US" w:eastAsia="zh-CN"/>
              </w:rPr>
              <w:t>15</w:t>
            </w:r>
            <w:r>
              <w:rPr>
                <w:rFonts w:hint="eastAsia" w:ascii="宋体" w:hAnsi="宋体"/>
                <w:szCs w:val="21"/>
              </w:rPr>
              <w:t>分）</w:t>
            </w:r>
          </w:p>
        </w:tc>
        <w:tc>
          <w:tcPr>
            <w:tcW w:w="9743" w:type="dxa"/>
            <w:shd w:val="clear" w:color="auto" w:fill="auto"/>
            <w:vAlign w:val="center"/>
          </w:tcPr>
          <w:p>
            <w:pPr>
              <w:widowControl w:val="0"/>
              <w:spacing w:line="240" w:lineRule="auto"/>
              <w:jc w:val="both"/>
              <w:rPr>
                <w:rFonts w:ascii="宋体" w:hAnsi="宋体"/>
                <w:szCs w:val="21"/>
              </w:rPr>
            </w:pPr>
            <w:r>
              <w:rPr>
                <w:rFonts w:hint="eastAsia" w:ascii="宋体" w:hAnsi="宋体" w:cs="宋体"/>
                <w:szCs w:val="21"/>
              </w:rPr>
              <w:t>拟投入本项目的项目团队人员</w:t>
            </w:r>
            <w:r>
              <w:rPr>
                <w:rFonts w:hint="eastAsia" w:ascii="宋体" w:hAnsi="宋体"/>
                <w:szCs w:val="21"/>
              </w:rPr>
              <w:t>具备</w:t>
            </w:r>
            <w:r>
              <w:rPr>
                <w:rFonts w:hint="eastAsia" w:ascii="宋体" w:hAnsi="宋体" w:cs="宋体"/>
                <w:szCs w:val="21"/>
              </w:rPr>
              <w:t>以下条件的：</w:t>
            </w:r>
          </w:p>
          <w:p>
            <w:pPr>
              <w:widowControl w:val="0"/>
              <w:spacing w:line="240" w:lineRule="auto"/>
              <w:jc w:val="both"/>
              <w:rPr>
                <w:rFonts w:hint="eastAsia" w:ascii="宋体" w:hAnsi="宋体"/>
                <w:szCs w:val="21"/>
              </w:rPr>
            </w:pPr>
            <w:r>
              <w:rPr>
                <w:rFonts w:hint="eastAsia" w:ascii="宋体" w:hAnsi="宋体"/>
                <w:szCs w:val="21"/>
              </w:rPr>
              <w:t>具有交通运输、咨询类相关专业中级或以上职称，每提供一个得5分，最高得</w:t>
            </w:r>
            <w:r>
              <w:rPr>
                <w:rFonts w:hint="eastAsia" w:ascii="宋体" w:hAnsi="宋体"/>
                <w:szCs w:val="21"/>
                <w:lang w:val="en-US" w:eastAsia="zh-CN"/>
              </w:rPr>
              <w:t>15</w:t>
            </w:r>
            <w:r>
              <w:rPr>
                <w:rFonts w:hint="eastAsia" w:ascii="宋体" w:hAnsi="宋体"/>
                <w:szCs w:val="21"/>
              </w:rPr>
              <w:t>分。</w:t>
            </w:r>
          </w:p>
          <w:p>
            <w:pPr>
              <w:spacing w:line="240" w:lineRule="auto"/>
              <w:jc w:val="both"/>
              <w:rPr>
                <w:rFonts w:hint="eastAsia" w:eastAsia="仿宋_GB2312"/>
                <w:lang w:eastAsia="zh-CN"/>
              </w:rPr>
            </w:pPr>
            <w:r>
              <w:rPr>
                <w:rFonts w:hint="eastAsia" w:ascii="宋体" w:hAnsi="宋体"/>
                <w:szCs w:val="21"/>
              </w:rPr>
              <w:t>注：</w:t>
            </w:r>
            <w:r>
              <w:rPr>
                <w:rFonts w:hint="eastAsia" w:ascii="宋体" w:hAnsi="宋体" w:cs="宋体"/>
                <w:szCs w:val="21"/>
              </w:rPr>
              <w:t>同一人获得多个职称的按最高职称计算，须同时提供以上职称证明材料及以上人员在供应商单位任职的外部证明材料（报价文件递交截止日的最近6个月中任意一个月在供应商单位的社保缴费记录；如该人员依法免税或不需要缴纳社会保障资金的，须提供相应证明材料）</w:t>
            </w:r>
            <w:r>
              <w:rPr>
                <w:rFonts w:hint="eastAsia" w:ascii="宋体" w:hAnsi="宋体"/>
                <w:szCs w:val="21"/>
              </w:rPr>
              <w:t>。</w:t>
            </w:r>
            <w:r>
              <w:rPr>
                <w:rFonts w:hint="eastAsia" w:ascii="宋体" w:hAnsi="宋体" w:cs="宋体"/>
                <w:szCs w:val="21"/>
              </w:rPr>
              <w:t>以上材料如提供的复印件不清晰或缺漏的不予计分。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spacing w:line="240" w:lineRule="auto"/>
              <w:jc w:val="center"/>
              <w:rPr>
                <w:rFonts w:ascii="宋体" w:hAnsi="宋体"/>
                <w:szCs w:val="21"/>
              </w:rPr>
            </w:pPr>
            <w:r>
              <w:rPr>
                <w:rFonts w:hint="eastAsia" w:ascii="宋体" w:hAnsi="宋体"/>
                <w:szCs w:val="21"/>
              </w:rPr>
              <w:t>获奖情况</w:t>
            </w:r>
          </w:p>
          <w:p>
            <w:pPr>
              <w:widowControl w:val="0"/>
              <w:spacing w:line="240" w:lineRule="auto"/>
              <w:jc w:val="center"/>
              <w:rPr>
                <w:rFonts w:ascii="宋体" w:hAnsi="宋体"/>
                <w:szCs w:val="21"/>
              </w:rPr>
            </w:pPr>
            <w:r>
              <w:rPr>
                <w:rFonts w:hint="eastAsia" w:ascii="宋体" w:hAnsi="宋体"/>
                <w:szCs w:val="21"/>
              </w:rPr>
              <w:t>（</w:t>
            </w:r>
            <w:r>
              <w:rPr>
                <w:rFonts w:hint="eastAsia" w:ascii="宋体" w:hAnsi="宋体"/>
                <w:szCs w:val="21"/>
                <w:lang w:val="en-US" w:eastAsia="zh-CN"/>
              </w:rPr>
              <w:t>5</w:t>
            </w:r>
            <w:r>
              <w:rPr>
                <w:rFonts w:ascii="宋体" w:hAnsi="宋体"/>
                <w:szCs w:val="21"/>
              </w:rPr>
              <w:t>分</w:t>
            </w:r>
            <w:r>
              <w:rPr>
                <w:rFonts w:hint="eastAsia" w:ascii="宋体" w:hAnsi="宋体"/>
                <w:szCs w:val="21"/>
              </w:rPr>
              <w:t>）</w:t>
            </w:r>
          </w:p>
        </w:tc>
        <w:tc>
          <w:tcPr>
            <w:tcW w:w="9743" w:type="dxa"/>
            <w:shd w:val="clear" w:color="auto" w:fill="auto"/>
            <w:vAlign w:val="center"/>
          </w:tcPr>
          <w:p>
            <w:pPr>
              <w:widowControl w:val="0"/>
              <w:spacing w:line="240" w:lineRule="auto"/>
              <w:jc w:val="both"/>
              <w:rPr>
                <w:rFonts w:ascii="宋体" w:hAnsi="宋体"/>
                <w:szCs w:val="21"/>
              </w:rPr>
            </w:pPr>
            <w:r>
              <w:rPr>
                <w:rFonts w:ascii="宋体" w:hAnsi="宋体"/>
                <w:szCs w:val="21"/>
              </w:rPr>
              <w:t>20</w:t>
            </w:r>
            <w:r>
              <w:rPr>
                <w:rFonts w:hint="eastAsia" w:ascii="宋体" w:hAnsi="宋体"/>
                <w:szCs w:val="21"/>
                <w:lang w:val="en-US" w:eastAsia="zh-CN"/>
              </w:rPr>
              <w:t>21</w:t>
            </w:r>
            <w:r>
              <w:rPr>
                <w:rFonts w:ascii="宋体" w:hAnsi="宋体"/>
                <w:szCs w:val="21"/>
              </w:rPr>
              <w:t>年</w:t>
            </w:r>
            <w:r>
              <w:rPr>
                <w:rFonts w:hint="eastAsia" w:ascii="宋体" w:hAnsi="宋体"/>
                <w:szCs w:val="21"/>
                <w:lang w:val="en-US" w:eastAsia="zh-CN"/>
              </w:rPr>
              <w:t>1</w:t>
            </w:r>
            <w:r>
              <w:rPr>
                <w:rFonts w:ascii="宋体" w:hAnsi="宋体"/>
                <w:szCs w:val="21"/>
              </w:rPr>
              <w:t>月1日至</w:t>
            </w:r>
            <w:r>
              <w:rPr>
                <w:rFonts w:hint="eastAsia" w:ascii="宋体" w:hAnsi="宋体"/>
                <w:szCs w:val="21"/>
              </w:rPr>
              <w:t>报价</w:t>
            </w:r>
            <w:r>
              <w:rPr>
                <w:rFonts w:ascii="宋体" w:hAnsi="宋体"/>
                <w:szCs w:val="21"/>
              </w:rPr>
              <w:t>文件递交截止之日止（以获奖证书时间为准），</w:t>
            </w:r>
            <w:r>
              <w:rPr>
                <w:rFonts w:hint="eastAsia" w:ascii="宋体" w:hAnsi="宋体"/>
                <w:szCs w:val="21"/>
              </w:rPr>
              <w:t>供应商</w:t>
            </w:r>
            <w:r>
              <w:rPr>
                <w:rFonts w:ascii="宋体" w:hAnsi="宋体"/>
                <w:szCs w:val="21"/>
              </w:rPr>
              <w:t>承接的</w:t>
            </w:r>
            <w:r>
              <w:rPr>
                <w:rFonts w:hint="eastAsia" w:ascii="宋体" w:hAnsi="宋体"/>
                <w:szCs w:val="21"/>
              </w:rPr>
              <w:t>类似项目</w:t>
            </w:r>
            <w:r>
              <w:rPr>
                <w:rFonts w:ascii="宋体" w:hAnsi="宋体"/>
                <w:szCs w:val="21"/>
              </w:rPr>
              <w:t>获得政府部门、行业协会（学会）颁发的省部级奖项的，每个得</w:t>
            </w:r>
            <w:r>
              <w:rPr>
                <w:rFonts w:hint="eastAsia" w:ascii="宋体" w:hAnsi="宋体"/>
                <w:szCs w:val="21"/>
                <w:lang w:val="en-US" w:eastAsia="zh-CN"/>
              </w:rPr>
              <w:t>1</w:t>
            </w:r>
            <w:r>
              <w:rPr>
                <w:rFonts w:ascii="宋体" w:hAnsi="宋体"/>
                <w:szCs w:val="21"/>
              </w:rPr>
              <w:t>分；获得国家级奖项的，每个得</w:t>
            </w:r>
            <w:r>
              <w:rPr>
                <w:rFonts w:hint="eastAsia" w:ascii="宋体" w:hAnsi="宋体"/>
                <w:szCs w:val="21"/>
                <w:lang w:val="en-US" w:eastAsia="zh-CN"/>
              </w:rPr>
              <w:t>2</w:t>
            </w:r>
            <w:r>
              <w:rPr>
                <w:rFonts w:ascii="宋体" w:hAnsi="宋体"/>
                <w:szCs w:val="21"/>
              </w:rPr>
              <w:t>分。本项累计最多得</w:t>
            </w:r>
            <w:r>
              <w:rPr>
                <w:rFonts w:hint="eastAsia" w:ascii="宋体" w:hAnsi="宋体"/>
                <w:szCs w:val="21"/>
                <w:lang w:val="en-US" w:eastAsia="zh-CN"/>
              </w:rPr>
              <w:t>5</w:t>
            </w:r>
            <w:r>
              <w:rPr>
                <w:rFonts w:ascii="宋体" w:hAnsi="宋体"/>
                <w:szCs w:val="21"/>
              </w:rPr>
              <w:t>分。</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价格部</w:t>
            </w:r>
            <w:r>
              <w:rPr>
                <w:rFonts w:ascii="宋体" w:hAnsi="宋体"/>
                <w:szCs w:val="21"/>
              </w:rPr>
              <w:t>分</w:t>
            </w:r>
          </w:p>
          <w:p>
            <w:pPr>
              <w:widowControl w:val="0"/>
              <w:spacing w:line="240" w:lineRule="auto"/>
              <w:jc w:val="center"/>
              <w:rPr>
                <w:szCs w:val="21"/>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价格</w:t>
            </w:r>
            <w:r>
              <w:rPr>
                <w:rFonts w:ascii="宋体" w:hAnsi="宋体"/>
                <w:szCs w:val="21"/>
              </w:rPr>
              <w:t>得分</w:t>
            </w:r>
          </w:p>
          <w:p>
            <w:pPr>
              <w:widowControl w:val="0"/>
              <w:spacing w:line="240" w:lineRule="auto"/>
              <w:jc w:val="center"/>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0分）</w:t>
            </w:r>
          </w:p>
        </w:tc>
        <w:tc>
          <w:tcPr>
            <w:tcW w:w="9743" w:type="dxa"/>
            <w:shd w:val="clear" w:color="auto" w:fill="auto"/>
            <w:vAlign w:val="center"/>
          </w:tcPr>
          <w:p>
            <w:pPr>
              <w:widowControl w:val="0"/>
              <w:spacing w:line="240" w:lineRule="auto"/>
              <w:jc w:val="both"/>
              <w:rPr>
                <w:rFonts w:ascii="宋体" w:hAnsi="宋体"/>
                <w:szCs w:val="21"/>
              </w:rPr>
            </w:pPr>
            <w:r>
              <w:rPr>
                <w:rFonts w:hint="eastAsia" w:ascii="宋体" w:hAnsi="宋体"/>
                <w:szCs w:val="21"/>
              </w:rPr>
              <w:t>价格</w:t>
            </w:r>
            <w:r>
              <w:rPr>
                <w:rFonts w:ascii="宋体" w:hAnsi="宋体"/>
                <w:szCs w:val="21"/>
              </w:rPr>
              <w:t>得分=</w:t>
            </w:r>
            <w:r>
              <w:rPr>
                <w:rFonts w:hint="eastAsia" w:ascii="宋体" w:hAnsi="宋体"/>
                <w:szCs w:val="21"/>
              </w:rPr>
              <w:t>（基准价/报价）*价格评分权重。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szCs w:val="21"/>
              </w:rPr>
            </w:pPr>
            <w:r>
              <w:rPr>
                <w:rFonts w:hint="eastAsia" w:ascii="宋体" w:hAnsi="宋体"/>
                <w:szCs w:val="21"/>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314" w:type="dxa"/>
            <w:shd w:val="clear" w:color="auto" w:fill="auto"/>
            <w:vAlign w:val="center"/>
          </w:tcPr>
          <w:p>
            <w:pPr>
              <w:spacing w:line="240" w:lineRule="auto"/>
              <w:jc w:val="center"/>
              <w:rPr>
                <w:rFonts w:ascii="宋体" w:hAnsi="宋体" w:cs="Microsoft JhengHei"/>
                <w:szCs w:val="21"/>
              </w:rPr>
            </w:pPr>
            <w:r>
              <w:rPr>
                <w:rFonts w:hint="eastAsia" w:ascii="宋体" w:hAnsi="宋体" w:cs="Microsoft JhengHei"/>
                <w:szCs w:val="21"/>
              </w:rPr>
              <w:t>总分</w:t>
            </w: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100分</w:t>
            </w:r>
          </w:p>
        </w:tc>
        <w:tc>
          <w:tcPr>
            <w:tcW w:w="9743" w:type="dxa"/>
            <w:shd w:val="clear" w:color="auto" w:fill="auto"/>
            <w:vAlign w:val="center"/>
          </w:tcPr>
          <w:p>
            <w:pPr>
              <w:widowControl w:val="0"/>
              <w:spacing w:line="240" w:lineRule="auto"/>
              <w:jc w:val="both"/>
              <w:rPr>
                <w:rFonts w:ascii="宋体" w:hAnsi="宋体"/>
                <w:szCs w:val="21"/>
              </w:rPr>
            </w:pPr>
          </w:p>
        </w:tc>
      </w:tr>
    </w:tbl>
    <w:p/>
    <w:sectPr>
      <w:pgSz w:w="16838" w:h="11906" w:orient="landscape"/>
      <w:pgMar w:top="1531" w:right="1440" w:bottom="1531"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ZDNjYWE3Mjg1YmZkMzA2YWEzNDhiYWRhNzIwYmUifQ=="/>
  </w:docVars>
  <w:rsids>
    <w:rsidRoot w:val="52274061"/>
    <w:rsid w:val="00005D24"/>
    <w:rsid w:val="000242B9"/>
    <w:rsid w:val="0005686F"/>
    <w:rsid w:val="000A2FD7"/>
    <w:rsid w:val="00101119"/>
    <w:rsid w:val="00110D52"/>
    <w:rsid w:val="00116321"/>
    <w:rsid w:val="00137E14"/>
    <w:rsid w:val="001F5A48"/>
    <w:rsid w:val="00200881"/>
    <w:rsid w:val="0020787D"/>
    <w:rsid w:val="00210A9F"/>
    <w:rsid w:val="00231BA1"/>
    <w:rsid w:val="00257C3A"/>
    <w:rsid w:val="002E7805"/>
    <w:rsid w:val="003455E0"/>
    <w:rsid w:val="00466429"/>
    <w:rsid w:val="00473210"/>
    <w:rsid w:val="004866A5"/>
    <w:rsid w:val="004A7B42"/>
    <w:rsid w:val="004B4889"/>
    <w:rsid w:val="00526B8B"/>
    <w:rsid w:val="00535336"/>
    <w:rsid w:val="00541707"/>
    <w:rsid w:val="00574532"/>
    <w:rsid w:val="005770F5"/>
    <w:rsid w:val="006A7D10"/>
    <w:rsid w:val="006B5156"/>
    <w:rsid w:val="006C4875"/>
    <w:rsid w:val="006F0B94"/>
    <w:rsid w:val="00735B18"/>
    <w:rsid w:val="007B4112"/>
    <w:rsid w:val="007C5A1F"/>
    <w:rsid w:val="007D4A59"/>
    <w:rsid w:val="008A475F"/>
    <w:rsid w:val="00930DC6"/>
    <w:rsid w:val="009364DA"/>
    <w:rsid w:val="00944C1B"/>
    <w:rsid w:val="00953257"/>
    <w:rsid w:val="00956819"/>
    <w:rsid w:val="00986CCF"/>
    <w:rsid w:val="009B24C4"/>
    <w:rsid w:val="00A225BB"/>
    <w:rsid w:val="00A815FA"/>
    <w:rsid w:val="00A87DA2"/>
    <w:rsid w:val="00AE272C"/>
    <w:rsid w:val="00B6111A"/>
    <w:rsid w:val="00B72689"/>
    <w:rsid w:val="00B86168"/>
    <w:rsid w:val="00BA4445"/>
    <w:rsid w:val="00BC3197"/>
    <w:rsid w:val="00BE6C73"/>
    <w:rsid w:val="00C54E5D"/>
    <w:rsid w:val="00CF0907"/>
    <w:rsid w:val="00D16B94"/>
    <w:rsid w:val="00D22CC9"/>
    <w:rsid w:val="00D42710"/>
    <w:rsid w:val="00D65F09"/>
    <w:rsid w:val="00DA350C"/>
    <w:rsid w:val="00E24C1B"/>
    <w:rsid w:val="00E447D5"/>
    <w:rsid w:val="00E825AC"/>
    <w:rsid w:val="00EA2D82"/>
    <w:rsid w:val="00EB6B1F"/>
    <w:rsid w:val="00F10FEA"/>
    <w:rsid w:val="02946D70"/>
    <w:rsid w:val="04171D0A"/>
    <w:rsid w:val="04432EDF"/>
    <w:rsid w:val="05102766"/>
    <w:rsid w:val="059628E2"/>
    <w:rsid w:val="089F5DA6"/>
    <w:rsid w:val="10CA7549"/>
    <w:rsid w:val="12CA5922"/>
    <w:rsid w:val="138F53F3"/>
    <w:rsid w:val="13960100"/>
    <w:rsid w:val="16C3569A"/>
    <w:rsid w:val="18B354C4"/>
    <w:rsid w:val="1AD94463"/>
    <w:rsid w:val="219629E7"/>
    <w:rsid w:val="21FA2A44"/>
    <w:rsid w:val="226A33F7"/>
    <w:rsid w:val="263C48A5"/>
    <w:rsid w:val="264B7804"/>
    <w:rsid w:val="264D4AE6"/>
    <w:rsid w:val="2A345FCF"/>
    <w:rsid w:val="2D7B4196"/>
    <w:rsid w:val="2F377C24"/>
    <w:rsid w:val="2F835D68"/>
    <w:rsid w:val="327318E0"/>
    <w:rsid w:val="33225A98"/>
    <w:rsid w:val="344E7B67"/>
    <w:rsid w:val="3647028F"/>
    <w:rsid w:val="37214C68"/>
    <w:rsid w:val="37234295"/>
    <w:rsid w:val="37FA6F14"/>
    <w:rsid w:val="3AC63D98"/>
    <w:rsid w:val="3ADF65BE"/>
    <w:rsid w:val="3C164160"/>
    <w:rsid w:val="3D850525"/>
    <w:rsid w:val="3E56400E"/>
    <w:rsid w:val="3FF03DC0"/>
    <w:rsid w:val="45997ABE"/>
    <w:rsid w:val="45E87E92"/>
    <w:rsid w:val="46A343CF"/>
    <w:rsid w:val="4922298A"/>
    <w:rsid w:val="4A236CA1"/>
    <w:rsid w:val="4A2E7F5F"/>
    <w:rsid w:val="4D4A08B5"/>
    <w:rsid w:val="4EA61A39"/>
    <w:rsid w:val="500563DC"/>
    <w:rsid w:val="503840C7"/>
    <w:rsid w:val="51295B34"/>
    <w:rsid w:val="51FD1269"/>
    <w:rsid w:val="52274061"/>
    <w:rsid w:val="53EC0D85"/>
    <w:rsid w:val="567D422C"/>
    <w:rsid w:val="572A49FE"/>
    <w:rsid w:val="5CF62255"/>
    <w:rsid w:val="5F371063"/>
    <w:rsid w:val="5FCF4DDA"/>
    <w:rsid w:val="60375DC3"/>
    <w:rsid w:val="614F415F"/>
    <w:rsid w:val="66B873D1"/>
    <w:rsid w:val="6B4A2E76"/>
    <w:rsid w:val="6D7D1902"/>
    <w:rsid w:val="745E5245"/>
    <w:rsid w:val="76D844B5"/>
    <w:rsid w:val="77BF5FFA"/>
    <w:rsid w:val="78B07647"/>
    <w:rsid w:val="7AC61FDC"/>
    <w:rsid w:val="7BB416D1"/>
    <w:rsid w:val="EFCEB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200" w:firstLine="200"/>
    </w:pPr>
  </w:style>
  <w:style w:type="paragraph" w:styleId="3">
    <w:name w:val="Body Text Indent"/>
    <w:basedOn w:val="1"/>
    <w:qFormat/>
    <w:uiPriority w:val="0"/>
    <w:pPr>
      <w:ind w:firstLine="830" w:firstLineChars="352"/>
    </w:pPr>
    <w:rPr>
      <w:rFonts w:ascii="仿宋_GB2312" w:eastAsia="仿宋_GB2312"/>
      <w:kern w:val="0"/>
      <w:sz w:val="32"/>
    </w:rPr>
  </w:style>
  <w:style w:type="paragraph" w:styleId="4">
    <w:name w:val="Balloon Text"/>
    <w:basedOn w:val="1"/>
    <w:link w:val="13"/>
    <w:qFormat/>
    <w:uiPriority w:val="0"/>
    <w:pPr>
      <w:spacing w:line="240" w:lineRule="auto"/>
    </w:pPr>
    <w:rPr>
      <w:sz w:val="18"/>
      <w:szCs w:val="18"/>
    </w:rPr>
  </w:style>
  <w:style w:type="paragraph" w:styleId="5">
    <w:name w:val="footer"/>
    <w:basedOn w:val="1"/>
    <w:link w:val="10"/>
    <w:qFormat/>
    <w:uiPriority w:val="0"/>
    <w:pPr>
      <w:tabs>
        <w:tab w:val="center" w:pos="4153"/>
        <w:tab w:val="right" w:pos="8306"/>
      </w:tabs>
      <w:snapToGrid w:val="0"/>
      <w:spacing w:line="240" w:lineRule="atLeas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paragraph" w:customStyle="1" w:styleId="12">
    <w:name w:val="Table Paragraph"/>
    <w:basedOn w:val="1"/>
    <w:qFormat/>
    <w:uiPriority w:val="1"/>
  </w:style>
  <w:style w:type="character" w:customStyle="1" w:styleId="13">
    <w:name w:val="批注框文本 字符"/>
    <w:basedOn w:val="8"/>
    <w:link w:val="4"/>
    <w:qFormat/>
    <w:uiPriority w:val="0"/>
    <w:rPr>
      <w:rFonts w:ascii="Times New Roman" w:hAnsi="Times New Roman" w:eastAsia="宋体" w:cs="Times New Roman"/>
      <w:kern w:val="2"/>
      <w:sz w:val="18"/>
      <w:szCs w:val="18"/>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15">
    <w:name w:val="网格型1"/>
    <w:basedOn w:val="7"/>
    <w:qFormat/>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1072</Words>
  <Characters>1102</Characters>
  <Lines>8</Lines>
  <Paragraphs>2</Paragraphs>
  <TotalTime>0</TotalTime>
  <ScaleCrop>false</ScaleCrop>
  <LinksUpToDate>false</LinksUpToDate>
  <CharactersWithSpaces>1102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2022-07-27T16:47:00Z</dcterms:created>
  <dc:creator>liuch</dc:creator>
  <cp:lastModifiedBy>yan</cp:lastModifiedBy>
  <cp:lastPrinted>2022-09-16T08:37:00Z</cp:lastPrinted>
  <dcterms:modified xsi:type="dcterms:W3CDTF">2025-05-09T07:16:51Z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9BC962BA32E74E77A0B89072EB718D80_13</vt:lpwstr>
  </property>
  <property fmtid="{D5CDD505-2E9C-101B-9397-08002B2CF9AE}" pid="4" name="KSOTemplateDocerSaveRecord">
    <vt:lpwstr>eyJoZGlkIjoiMzEwNTM5NzYwMDRjMzkwZTVkZjY2ODkwMGIxNGU0OTUiLCJ1c2VySWQiOiIxNTg5NTExNTI2In0=</vt:lpwstr>
  </property>
</Properties>
</file>