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99B56">
      <w:pPr>
        <w:rPr>
          <w:rFonts w:ascii="黑体" w:hAnsi="黑体" w:eastAsia="黑体" w:cs="黑体"/>
          <w:sz w:val="32"/>
          <w:szCs w:val="32"/>
        </w:rPr>
      </w:pPr>
      <w:r>
        <w:rPr>
          <w:rFonts w:hint="eastAsia" w:ascii="黑体" w:hAnsi="黑体" w:eastAsia="黑体" w:cs="黑体"/>
          <w:sz w:val="32"/>
          <w:szCs w:val="32"/>
        </w:rPr>
        <w:t>附件</w:t>
      </w:r>
    </w:p>
    <w:p w14:paraId="18AEF705">
      <w:pPr>
        <w:widowControl w:val="0"/>
        <w:spacing w:after="120" w:line="240" w:lineRule="auto"/>
        <w:ind w:left="420" w:leftChars="200"/>
        <w:jc w:val="center"/>
        <w:rPr>
          <w:rFonts w:ascii="宋体" w:hAnsi="宋体" w:cs="Microsoft JhengHei"/>
          <w:b/>
          <w:position w:val="-1"/>
          <w:sz w:val="36"/>
          <w:szCs w:val="36"/>
        </w:rPr>
      </w:pPr>
      <w:r>
        <w:rPr>
          <w:rFonts w:hint="eastAsia" w:ascii="宋体" w:hAnsi="宋体" w:cs="Microsoft JhengHei"/>
          <w:b/>
          <w:position w:val="-1"/>
          <w:sz w:val="36"/>
          <w:szCs w:val="36"/>
        </w:rPr>
        <w:t>《2025年重大节假日交通宣传项目》</w:t>
      </w:r>
    </w:p>
    <w:p w14:paraId="54371387">
      <w:pPr>
        <w:widowControl w:val="0"/>
        <w:spacing w:after="120" w:line="240" w:lineRule="auto"/>
        <w:ind w:left="420" w:leftChars="200"/>
        <w:jc w:val="center"/>
        <w:rPr>
          <w:rFonts w:ascii="宋体" w:hAnsi="宋体" w:cs="Microsoft JhengHei"/>
          <w:b/>
          <w:position w:val="-1"/>
          <w:sz w:val="36"/>
          <w:szCs w:val="36"/>
        </w:rPr>
      </w:pPr>
      <w:r>
        <w:rPr>
          <w:rFonts w:hint="eastAsia" w:ascii="宋体" w:hAnsi="宋体" w:cs="Microsoft JhengHei"/>
          <w:b/>
          <w:position w:val="-1"/>
          <w:sz w:val="36"/>
          <w:szCs w:val="36"/>
        </w:rPr>
        <w:t>报价方案评审标准</w:t>
      </w:r>
    </w:p>
    <w:p w14:paraId="7EA522DF">
      <w:pPr>
        <w:pStyle w:val="2"/>
        <w:ind w:firstLine="1126"/>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09"/>
        <w:gridCol w:w="9161"/>
      </w:tblGrid>
      <w:tr w14:paraId="77DC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vMerge w:val="restart"/>
            <w:shd w:val="clear" w:color="auto" w:fill="auto"/>
            <w:vAlign w:val="center"/>
          </w:tcPr>
          <w:p w14:paraId="2AC41107">
            <w:pPr>
              <w:spacing w:line="240" w:lineRule="auto"/>
              <w:jc w:val="center"/>
              <w:rPr>
                <w:rFonts w:ascii="宋体" w:hAnsi="宋体" w:cs="Helvetica"/>
                <w:b/>
                <w:bCs/>
                <w:kern w:val="0"/>
                <w:szCs w:val="21"/>
              </w:rPr>
            </w:pPr>
            <w:r>
              <w:rPr>
                <w:rFonts w:ascii="宋体" w:hAnsi="宋体" w:cs="Microsoft JhengHei"/>
                <w:b/>
                <w:position w:val="-1"/>
                <w:szCs w:val="21"/>
              </w:rPr>
              <w:t>评审因素</w:t>
            </w:r>
          </w:p>
        </w:tc>
        <w:tc>
          <w:tcPr>
            <w:tcW w:w="11770" w:type="dxa"/>
            <w:gridSpan w:val="2"/>
            <w:vMerge w:val="restart"/>
            <w:shd w:val="clear" w:color="auto" w:fill="auto"/>
            <w:vAlign w:val="center"/>
          </w:tcPr>
          <w:p w14:paraId="5C1EF410">
            <w:pPr>
              <w:spacing w:line="240" w:lineRule="auto"/>
              <w:jc w:val="center"/>
              <w:rPr>
                <w:rFonts w:ascii="宋体" w:hAnsi="宋体" w:cs="Helvetica"/>
                <w:b/>
                <w:bCs/>
                <w:kern w:val="0"/>
                <w:szCs w:val="21"/>
              </w:rPr>
            </w:pPr>
            <w:r>
              <w:rPr>
                <w:rFonts w:ascii="宋体" w:hAnsi="宋体" w:cs="Microsoft JhengHei"/>
                <w:b/>
                <w:position w:val="-1"/>
                <w:szCs w:val="21"/>
              </w:rPr>
              <w:t>评审标准</w:t>
            </w:r>
          </w:p>
        </w:tc>
      </w:tr>
      <w:tr w14:paraId="7B68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980" w:type="dxa"/>
            <w:vMerge w:val="continue"/>
            <w:shd w:val="clear" w:color="auto" w:fill="auto"/>
            <w:vAlign w:val="center"/>
          </w:tcPr>
          <w:p w14:paraId="1D26D91E">
            <w:pPr>
              <w:spacing w:line="240" w:lineRule="auto"/>
              <w:jc w:val="center"/>
              <w:rPr>
                <w:rFonts w:ascii="宋体" w:hAnsi="宋体" w:cs="Microsoft JhengHei"/>
                <w:szCs w:val="21"/>
              </w:rPr>
            </w:pPr>
          </w:p>
        </w:tc>
        <w:tc>
          <w:tcPr>
            <w:tcW w:w="11770" w:type="dxa"/>
            <w:gridSpan w:val="2"/>
            <w:vMerge w:val="continue"/>
            <w:shd w:val="clear" w:color="auto" w:fill="auto"/>
            <w:vAlign w:val="center"/>
          </w:tcPr>
          <w:p w14:paraId="27F3F1C6">
            <w:pPr>
              <w:spacing w:line="240" w:lineRule="auto"/>
              <w:jc w:val="center"/>
              <w:rPr>
                <w:rFonts w:ascii="宋体" w:hAnsi="宋体" w:cs="Helvetica"/>
                <w:b/>
                <w:bCs/>
                <w:kern w:val="0"/>
                <w:szCs w:val="21"/>
              </w:rPr>
            </w:pPr>
          </w:p>
        </w:tc>
      </w:tr>
      <w:tr w14:paraId="0E8C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80" w:type="dxa"/>
            <w:shd w:val="clear" w:color="auto" w:fill="auto"/>
            <w:vAlign w:val="center"/>
          </w:tcPr>
          <w:p w14:paraId="2D652C80">
            <w:pPr>
              <w:spacing w:line="240" w:lineRule="auto"/>
              <w:jc w:val="center"/>
              <w:rPr>
                <w:rFonts w:ascii="宋体" w:hAnsi="宋体" w:cs="Helvetica"/>
                <w:b/>
                <w:bCs/>
                <w:kern w:val="0"/>
                <w:szCs w:val="21"/>
              </w:rPr>
            </w:pPr>
            <w:r>
              <w:rPr>
                <w:rFonts w:hint="eastAsia" w:ascii="宋体" w:hAnsi="宋体" w:cs="Microsoft JhengHei"/>
                <w:szCs w:val="21"/>
              </w:rPr>
              <w:t>资质审查</w:t>
            </w:r>
          </w:p>
        </w:tc>
        <w:tc>
          <w:tcPr>
            <w:tcW w:w="11770" w:type="dxa"/>
            <w:gridSpan w:val="2"/>
            <w:shd w:val="clear" w:color="auto" w:fill="auto"/>
            <w:vAlign w:val="center"/>
          </w:tcPr>
          <w:p w14:paraId="49AD43F9">
            <w:pPr>
              <w:widowControl w:val="0"/>
              <w:spacing w:line="240" w:lineRule="auto"/>
              <w:jc w:val="both"/>
              <w:rPr>
                <w:rFonts w:ascii="宋体" w:hAnsi="宋体" w:cs="Helvetica"/>
                <w:b/>
                <w:bCs/>
                <w:kern w:val="0"/>
                <w:szCs w:val="21"/>
              </w:rPr>
            </w:pPr>
            <w:r>
              <w:rPr>
                <w:rFonts w:hint="eastAsia" w:ascii="宋体" w:hAnsi="宋体" w:cs="宋体"/>
                <w:bCs/>
                <w:szCs w:val="21"/>
              </w:rPr>
              <w:t>对照购买服务公告第四点内容进行资料审查，如资料不齐全，则不予通过，不得参加后续评分。</w:t>
            </w:r>
          </w:p>
        </w:tc>
      </w:tr>
      <w:tr w14:paraId="278A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vMerge w:val="restart"/>
            <w:shd w:val="clear" w:color="auto" w:fill="auto"/>
            <w:vAlign w:val="center"/>
          </w:tcPr>
          <w:p w14:paraId="5AE1DC9A">
            <w:pPr>
              <w:spacing w:line="240" w:lineRule="auto"/>
              <w:jc w:val="center"/>
              <w:rPr>
                <w:rFonts w:ascii="宋体" w:hAnsi="宋体" w:cs="Microsoft JhengHei"/>
                <w:szCs w:val="21"/>
              </w:rPr>
            </w:pPr>
            <w:r>
              <w:rPr>
                <w:rFonts w:ascii="宋体" w:hAnsi="宋体" w:cs="Microsoft JhengHei"/>
                <w:szCs w:val="21"/>
              </w:rPr>
              <w:t>技术部分</w:t>
            </w:r>
          </w:p>
          <w:p w14:paraId="30112B19">
            <w:pPr>
              <w:spacing w:line="240" w:lineRule="auto"/>
              <w:jc w:val="center"/>
              <w:rPr>
                <w:rFonts w:ascii="宋体" w:hAnsi="宋体" w:cs="Helvetica"/>
                <w:b/>
                <w:bCs/>
                <w:kern w:val="0"/>
                <w:szCs w:val="21"/>
              </w:rPr>
            </w:pPr>
            <w:r>
              <w:rPr>
                <w:rFonts w:hint="eastAsia" w:ascii="宋体" w:hAnsi="宋体" w:cs="Microsoft JhengHei"/>
                <w:szCs w:val="21"/>
              </w:rPr>
              <w:t>（</w:t>
            </w:r>
            <w:r>
              <w:rPr>
                <w:rFonts w:hint="eastAsia" w:ascii="宋体" w:hAnsi="宋体" w:cs="Microsoft JhengHei"/>
                <w:szCs w:val="21"/>
                <w:lang w:val="en-US" w:eastAsia="zh-CN"/>
              </w:rPr>
              <w:t>50</w:t>
            </w:r>
            <w:r>
              <w:rPr>
                <w:rFonts w:hint="eastAsia" w:ascii="宋体" w:hAnsi="宋体" w:cs="Microsoft JhengHei"/>
                <w:szCs w:val="21"/>
              </w:rPr>
              <w:t>分）</w:t>
            </w:r>
          </w:p>
        </w:tc>
        <w:tc>
          <w:tcPr>
            <w:tcW w:w="2609" w:type="dxa"/>
            <w:shd w:val="clear" w:color="auto" w:fill="auto"/>
            <w:vAlign w:val="center"/>
          </w:tcPr>
          <w:p w14:paraId="75F453C4">
            <w:pPr>
              <w:widowControl w:val="0"/>
              <w:spacing w:line="24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项目整体服务方案</w:t>
            </w:r>
          </w:p>
          <w:p w14:paraId="7BD2EBE2">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0分）</w:t>
            </w:r>
          </w:p>
        </w:tc>
        <w:tc>
          <w:tcPr>
            <w:tcW w:w="9161" w:type="dxa"/>
            <w:shd w:val="clear" w:color="auto" w:fill="auto"/>
            <w:vAlign w:val="center"/>
          </w:tcPr>
          <w:p w14:paraId="1804E7D2">
            <w:pPr>
              <w:widowControl w:val="0"/>
              <w:spacing w:line="240" w:lineRule="auto"/>
              <w:jc w:val="both"/>
              <w:rPr>
                <w:rFonts w:hint="eastAsia"/>
              </w:rPr>
            </w:pPr>
            <w:r>
              <w:rPr>
                <w:rFonts w:hint="eastAsia"/>
              </w:rPr>
              <w:t>根据供应商提供的整体服务方案（包括但不限于项目理解、</w:t>
            </w:r>
            <w:r>
              <w:rPr>
                <w:rFonts w:hint="eastAsia"/>
                <w:lang w:val="en-US" w:eastAsia="zh-CN"/>
              </w:rPr>
              <w:t>项目重难点分析、</w:t>
            </w:r>
            <w:r>
              <w:rPr>
                <w:rFonts w:hint="eastAsia"/>
              </w:rPr>
              <w:t>项目实施方案等）进行</w:t>
            </w:r>
            <w:r>
              <w:rPr>
                <w:rFonts w:hint="eastAsia"/>
                <w:lang w:val="en-US" w:eastAsia="zh-CN"/>
              </w:rPr>
              <w:t>综合</w:t>
            </w:r>
            <w:r>
              <w:rPr>
                <w:rFonts w:hint="eastAsia"/>
              </w:rPr>
              <w:t>评审。</w:t>
            </w:r>
          </w:p>
          <w:p w14:paraId="31A988C5">
            <w:pPr>
              <w:widowControl w:val="0"/>
              <w:spacing w:line="240" w:lineRule="auto"/>
              <w:jc w:val="both"/>
              <w:rPr>
                <w:rFonts w:hint="eastAsia"/>
              </w:rPr>
            </w:pPr>
            <w:r>
              <w:rPr>
                <w:rFonts w:hint="eastAsia"/>
                <w:lang w:val="en-US" w:eastAsia="zh-CN"/>
              </w:rPr>
              <w:t>1.</w:t>
            </w:r>
            <w:r>
              <w:rPr>
                <w:rFonts w:hint="eastAsia"/>
              </w:rPr>
              <w:t>项目需求理解到位，项目实施方案详细、具体，与采购需求匹配度高，完全满足且优于采购需求，得20分；</w:t>
            </w:r>
          </w:p>
          <w:p w14:paraId="3D659202">
            <w:pPr>
              <w:widowControl w:val="0"/>
              <w:spacing w:line="240" w:lineRule="auto"/>
              <w:jc w:val="both"/>
            </w:pPr>
            <w:r>
              <w:rPr>
                <w:rFonts w:hint="eastAsia"/>
                <w:lang w:val="en-US" w:eastAsia="zh-CN"/>
              </w:rPr>
              <w:t>2.</w:t>
            </w:r>
            <w:r>
              <w:rPr>
                <w:rFonts w:hint="eastAsia"/>
              </w:rPr>
              <w:t xml:space="preserve">项目需求较理解，项目实施方案具体，与采购需求匹配度较高，完全满足采购需求。得15分； </w:t>
            </w:r>
          </w:p>
          <w:p w14:paraId="0A58D88E">
            <w:pPr>
              <w:widowControl w:val="0"/>
              <w:spacing w:line="240" w:lineRule="auto"/>
              <w:jc w:val="both"/>
            </w:pPr>
            <w:r>
              <w:rPr>
                <w:rFonts w:hint="eastAsia"/>
                <w:lang w:val="en-US" w:eastAsia="zh-CN"/>
              </w:rPr>
              <w:t>3.</w:t>
            </w:r>
            <w:r>
              <w:rPr>
                <w:rFonts w:hint="eastAsia"/>
              </w:rPr>
              <w:t>项目需求基本理解，项目实施方案完整，与采购需求基本匹配，基本满足采购需求。得10分；</w:t>
            </w:r>
          </w:p>
          <w:p w14:paraId="0362545E">
            <w:pPr>
              <w:widowControl w:val="0"/>
              <w:spacing w:line="240" w:lineRule="auto"/>
              <w:jc w:val="both"/>
            </w:pPr>
            <w:r>
              <w:rPr>
                <w:rFonts w:hint="eastAsia"/>
                <w:lang w:val="en-US" w:eastAsia="zh-CN"/>
              </w:rPr>
              <w:t>4.</w:t>
            </w:r>
            <w:r>
              <w:rPr>
                <w:rFonts w:hint="eastAsia"/>
              </w:rPr>
              <w:t xml:space="preserve">项目需求有偏差，项目实施方案欠缺完整性，与采购需求匹配度低，不满足采购需求。得5分。 </w:t>
            </w:r>
          </w:p>
          <w:p w14:paraId="64A8B3C1">
            <w:pPr>
              <w:widowControl w:val="0"/>
              <w:spacing w:line="240" w:lineRule="auto"/>
              <w:jc w:val="both"/>
              <w:rPr>
                <w:rFonts w:ascii="宋体" w:hAnsi="宋体"/>
                <w:color w:val="000000" w:themeColor="text1"/>
                <w:szCs w:val="21"/>
                <w14:textFill>
                  <w14:solidFill>
                    <w14:schemeClr w14:val="tx1"/>
                  </w14:solidFill>
                </w14:textFill>
              </w:rPr>
            </w:pPr>
            <w:r>
              <w:rPr>
                <w:rFonts w:hint="eastAsia"/>
                <w:lang w:val="en-US" w:eastAsia="zh-CN"/>
              </w:rPr>
              <w:t>5.</w:t>
            </w:r>
            <w:r>
              <w:rPr>
                <w:rFonts w:hint="eastAsia"/>
              </w:rPr>
              <w:t>其他或不提供的，不得分。</w:t>
            </w:r>
          </w:p>
        </w:tc>
      </w:tr>
      <w:tr w14:paraId="4245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80" w:type="dxa"/>
            <w:vMerge w:val="continue"/>
            <w:shd w:val="clear" w:color="auto" w:fill="auto"/>
            <w:vAlign w:val="center"/>
          </w:tcPr>
          <w:p w14:paraId="26CD3C74">
            <w:pPr>
              <w:spacing w:line="240" w:lineRule="auto"/>
              <w:jc w:val="center"/>
              <w:rPr>
                <w:rFonts w:ascii="宋体" w:hAnsi="宋体" w:cs="Microsoft JhengHei"/>
                <w:szCs w:val="21"/>
              </w:rPr>
            </w:pPr>
          </w:p>
        </w:tc>
        <w:tc>
          <w:tcPr>
            <w:tcW w:w="2609" w:type="dxa"/>
            <w:shd w:val="clear" w:color="auto" w:fill="auto"/>
            <w:vAlign w:val="center"/>
          </w:tcPr>
          <w:p w14:paraId="670205A4">
            <w:pPr>
              <w:widowControl w:val="0"/>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质量保证措施及承诺</w:t>
            </w:r>
          </w:p>
          <w:p w14:paraId="390434FE">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9161" w:type="dxa"/>
            <w:shd w:val="clear" w:color="auto" w:fill="auto"/>
            <w:vAlign w:val="center"/>
          </w:tcPr>
          <w:p w14:paraId="68F64AEC">
            <w:pPr>
              <w:widowControl w:val="0"/>
              <w:spacing w:line="240" w:lineRule="auto"/>
              <w:jc w:val="both"/>
              <w:rPr>
                <w:rFonts w:hint="eastAsia" w:eastAsia="宋体"/>
                <w:lang w:eastAsia="zh-CN"/>
              </w:rPr>
            </w:pPr>
            <w:r>
              <w:rPr>
                <w:rFonts w:hint="eastAsia"/>
              </w:rPr>
              <w:t>根据</w:t>
            </w:r>
            <w:r>
              <w:t>供应商</w:t>
            </w:r>
            <w:r>
              <w:rPr>
                <w:rFonts w:hint="eastAsia"/>
              </w:rPr>
              <w:t>提供的服务</w:t>
            </w:r>
            <w:r>
              <w:t>质量保证措施</w:t>
            </w:r>
            <w:r>
              <w:rPr>
                <w:rFonts w:hint="eastAsia"/>
              </w:rPr>
              <w:t>及</w:t>
            </w:r>
            <w:r>
              <w:rPr>
                <w:rFonts w:hint="eastAsia"/>
                <w:lang w:val="en-US" w:eastAsia="zh-CN"/>
              </w:rPr>
              <w:t>承诺</w:t>
            </w:r>
            <w:r>
              <w:rPr>
                <w:rFonts w:hint="eastAsia"/>
              </w:rPr>
              <w:t>进行</w:t>
            </w:r>
            <w:r>
              <w:rPr>
                <w:rFonts w:hint="eastAsia"/>
                <w:lang w:val="en-US" w:eastAsia="zh-CN"/>
              </w:rPr>
              <w:t>综合评审</w:t>
            </w:r>
            <w:r>
              <w:rPr>
                <w:rFonts w:hint="eastAsia"/>
                <w:lang w:eastAsia="zh-CN"/>
              </w:rPr>
              <w:t>。</w:t>
            </w:r>
          </w:p>
          <w:p w14:paraId="39336C77">
            <w:pPr>
              <w:widowControl w:val="0"/>
              <w:spacing w:line="240" w:lineRule="auto"/>
              <w:jc w:val="both"/>
            </w:pPr>
            <w:r>
              <w:rPr>
                <w:rFonts w:hint="eastAsia"/>
              </w:rPr>
              <w:t>1.</w:t>
            </w:r>
            <w:r>
              <w:t>质量保证措施具体完善</w:t>
            </w:r>
            <w:r>
              <w:rPr>
                <w:rFonts w:hint="eastAsia"/>
              </w:rPr>
              <w:t>，完全</w:t>
            </w:r>
            <w:r>
              <w:t>满足且优于项目需求的，得</w:t>
            </w:r>
            <w:r>
              <w:rPr>
                <w:rFonts w:hint="eastAsia"/>
              </w:rPr>
              <w:t>10</w:t>
            </w:r>
            <w:r>
              <w:t>分；</w:t>
            </w:r>
          </w:p>
          <w:p w14:paraId="76F0A668">
            <w:pPr>
              <w:widowControl w:val="0"/>
              <w:spacing w:line="240" w:lineRule="auto"/>
              <w:jc w:val="both"/>
            </w:pPr>
            <w:r>
              <w:rPr>
                <w:rFonts w:hint="eastAsia"/>
              </w:rPr>
              <w:t>2.</w:t>
            </w:r>
            <w:r>
              <w:t>有可行的质量保证措施</w:t>
            </w:r>
            <w:r>
              <w:rPr>
                <w:rFonts w:hint="eastAsia"/>
              </w:rPr>
              <w:t>，</w:t>
            </w:r>
            <w:r>
              <w:t>满足项目需求的，得</w:t>
            </w:r>
            <w:r>
              <w:rPr>
                <w:rFonts w:hint="eastAsia"/>
                <w:lang w:val="en-US" w:eastAsia="zh-CN"/>
              </w:rPr>
              <w:t>5</w:t>
            </w:r>
            <w:r>
              <w:t>分；</w:t>
            </w:r>
          </w:p>
          <w:p w14:paraId="507F4313">
            <w:pPr>
              <w:widowControl w:val="0"/>
              <w:spacing w:line="240" w:lineRule="auto"/>
              <w:jc w:val="both"/>
            </w:pPr>
            <w:r>
              <w:rPr>
                <w:rFonts w:hint="eastAsia"/>
              </w:rPr>
              <w:t>3.</w:t>
            </w:r>
            <w:r>
              <w:t>质量保证措施缺乏可行性</w:t>
            </w:r>
            <w:r>
              <w:rPr>
                <w:rFonts w:hint="eastAsia"/>
              </w:rPr>
              <w:t>，基本</w:t>
            </w:r>
            <w:r>
              <w:t>满足项目需求的，得</w:t>
            </w:r>
            <w:r>
              <w:rPr>
                <w:rFonts w:hint="eastAsia"/>
                <w:lang w:val="en-US" w:eastAsia="zh-CN"/>
              </w:rPr>
              <w:t>1</w:t>
            </w:r>
            <w:r>
              <w:t>分；</w:t>
            </w:r>
          </w:p>
          <w:p w14:paraId="792CC988">
            <w:pPr>
              <w:widowControl w:val="0"/>
              <w:spacing w:line="240" w:lineRule="auto"/>
              <w:jc w:val="both"/>
              <w:rPr>
                <w:rFonts w:ascii="宋体" w:hAnsi="宋体"/>
                <w:color w:val="000000" w:themeColor="text1"/>
                <w:szCs w:val="21"/>
                <w14:textFill>
                  <w14:solidFill>
                    <w14:schemeClr w14:val="tx1"/>
                  </w14:solidFill>
                </w14:textFill>
              </w:rPr>
            </w:pPr>
            <w:r>
              <w:rPr>
                <w:rFonts w:hint="eastAsia"/>
              </w:rPr>
              <w:t>4.</w:t>
            </w:r>
            <w:r>
              <w:t>未</w:t>
            </w:r>
            <w:r>
              <w:rPr>
                <w:rFonts w:hint="eastAsia"/>
              </w:rPr>
              <w:t>提供相关</w:t>
            </w:r>
            <w:r>
              <w:t>内容，得0分。</w:t>
            </w:r>
          </w:p>
        </w:tc>
      </w:tr>
      <w:tr w14:paraId="72DB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980" w:type="dxa"/>
            <w:vMerge w:val="continue"/>
            <w:shd w:val="clear" w:color="auto" w:fill="auto"/>
            <w:vAlign w:val="center"/>
          </w:tcPr>
          <w:p w14:paraId="65466A19">
            <w:pPr>
              <w:spacing w:line="240" w:lineRule="auto"/>
              <w:jc w:val="center"/>
              <w:rPr>
                <w:rFonts w:ascii="宋体" w:hAnsi="宋体" w:cs="Microsoft JhengHei"/>
                <w:szCs w:val="21"/>
              </w:rPr>
            </w:pPr>
          </w:p>
        </w:tc>
        <w:tc>
          <w:tcPr>
            <w:tcW w:w="2609" w:type="dxa"/>
            <w:shd w:val="clear" w:color="auto" w:fill="auto"/>
            <w:vAlign w:val="center"/>
          </w:tcPr>
          <w:p w14:paraId="197F1E75">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项目进度计划安排</w:t>
            </w:r>
          </w:p>
          <w:p w14:paraId="789E017A">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9161" w:type="dxa"/>
            <w:shd w:val="clear" w:color="auto" w:fill="auto"/>
            <w:vAlign w:val="center"/>
          </w:tcPr>
          <w:p w14:paraId="4F08F6E2">
            <w:pPr>
              <w:widowControl w:val="0"/>
              <w:spacing w:line="240" w:lineRule="auto"/>
              <w:jc w:val="both"/>
            </w:pPr>
            <w:r>
              <w:rPr>
                <w:rFonts w:hint="eastAsia"/>
              </w:rPr>
              <w:t>根据供应商提供的项目进度计划安排情况进行</w:t>
            </w:r>
            <w:r>
              <w:rPr>
                <w:rFonts w:hint="eastAsia"/>
                <w:lang w:val="en-US" w:eastAsia="zh-CN"/>
              </w:rPr>
              <w:t>综合评审</w:t>
            </w:r>
            <w:r>
              <w:rPr>
                <w:rFonts w:hint="eastAsia"/>
                <w:lang w:eastAsia="zh-CN"/>
              </w:rPr>
              <w:t>。</w:t>
            </w:r>
          </w:p>
          <w:p w14:paraId="556E88D0">
            <w:pPr>
              <w:widowControl w:val="0"/>
              <w:spacing w:line="240" w:lineRule="auto"/>
              <w:jc w:val="both"/>
            </w:pPr>
            <w:r>
              <w:rPr>
                <w:rFonts w:hint="eastAsia"/>
              </w:rPr>
              <w:t>1.针对项目的实施进度计划详细、合理，完全满足且优于用户需求，得10分；</w:t>
            </w:r>
          </w:p>
          <w:p w14:paraId="686704B8">
            <w:pPr>
              <w:widowControl w:val="0"/>
              <w:spacing w:line="240" w:lineRule="auto"/>
              <w:jc w:val="both"/>
            </w:pPr>
            <w:r>
              <w:rPr>
                <w:rFonts w:hint="eastAsia"/>
              </w:rPr>
              <w:t>2.针对项目的实施进度计划较详细、较合理，满足用户需求，得</w:t>
            </w:r>
            <w:r>
              <w:rPr>
                <w:rFonts w:hint="eastAsia"/>
                <w:lang w:val="en-US" w:eastAsia="zh-CN"/>
              </w:rPr>
              <w:t>5</w:t>
            </w:r>
            <w:r>
              <w:rPr>
                <w:rFonts w:hint="eastAsia"/>
              </w:rPr>
              <w:t>分；</w:t>
            </w:r>
          </w:p>
          <w:p w14:paraId="0BB12808">
            <w:pPr>
              <w:widowControl w:val="0"/>
              <w:spacing w:line="240" w:lineRule="auto"/>
              <w:jc w:val="both"/>
            </w:pPr>
            <w:r>
              <w:rPr>
                <w:rFonts w:hint="eastAsia"/>
              </w:rPr>
              <w:t>3.针对项目的实施进度计划不够详细、合理，基本满足用户需求，得</w:t>
            </w:r>
            <w:r>
              <w:rPr>
                <w:rFonts w:hint="eastAsia"/>
                <w:lang w:val="en-US" w:eastAsia="zh-CN"/>
              </w:rPr>
              <w:t>1</w:t>
            </w:r>
            <w:r>
              <w:rPr>
                <w:rFonts w:hint="eastAsia"/>
              </w:rPr>
              <w:t>分；</w:t>
            </w:r>
          </w:p>
          <w:p w14:paraId="4F78E1BE">
            <w:pPr>
              <w:widowControl w:val="0"/>
              <w:spacing w:line="240" w:lineRule="auto"/>
              <w:jc w:val="both"/>
            </w:pPr>
            <w:r>
              <w:rPr>
                <w:rFonts w:hint="eastAsia"/>
              </w:rPr>
              <w:t>4.未提供相关内容，得0分。</w:t>
            </w:r>
          </w:p>
        </w:tc>
      </w:tr>
      <w:tr w14:paraId="0219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980" w:type="dxa"/>
            <w:vMerge w:val="continue"/>
            <w:shd w:val="clear" w:color="auto" w:fill="auto"/>
            <w:vAlign w:val="center"/>
          </w:tcPr>
          <w:p w14:paraId="1CA424A7">
            <w:pPr>
              <w:spacing w:line="240" w:lineRule="auto"/>
              <w:jc w:val="center"/>
              <w:rPr>
                <w:rFonts w:ascii="宋体" w:hAnsi="宋体" w:cs="Microsoft JhengHei"/>
                <w:szCs w:val="21"/>
              </w:rPr>
            </w:pPr>
          </w:p>
        </w:tc>
        <w:tc>
          <w:tcPr>
            <w:tcW w:w="2609" w:type="dxa"/>
            <w:shd w:val="clear" w:color="auto" w:fill="auto"/>
            <w:vAlign w:val="center"/>
          </w:tcPr>
          <w:p w14:paraId="3B6F7128">
            <w:pPr>
              <w:widowControl w:val="0"/>
              <w:spacing w:line="240" w:lineRule="auto"/>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应急方案</w:t>
            </w:r>
          </w:p>
          <w:p w14:paraId="5CF484D4">
            <w:pPr>
              <w:widowControl w:val="0"/>
              <w:spacing w:line="24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9161" w:type="dxa"/>
            <w:shd w:val="clear" w:color="auto" w:fill="auto"/>
            <w:vAlign w:val="center"/>
          </w:tcPr>
          <w:p w14:paraId="035DAFC5">
            <w:pPr>
              <w:widowControl w:val="0"/>
              <w:spacing w:line="240" w:lineRule="auto"/>
              <w:jc w:val="both"/>
              <w:rPr>
                <w:rFonts w:hint="eastAsia" w:eastAsia="宋体"/>
                <w:lang w:eastAsia="zh-CN"/>
              </w:rPr>
            </w:pPr>
            <w:r>
              <w:rPr>
                <w:rFonts w:hint="eastAsia"/>
              </w:rPr>
              <w:t>根据供应商提供的应急方案进行</w:t>
            </w:r>
            <w:r>
              <w:rPr>
                <w:rFonts w:hint="eastAsia"/>
                <w:lang w:val="en-US" w:eastAsia="zh-CN"/>
              </w:rPr>
              <w:t>综合评审</w:t>
            </w:r>
            <w:r>
              <w:rPr>
                <w:rFonts w:hint="eastAsia"/>
                <w:lang w:eastAsia="zh-CN"/>
              </w:rPr>
              <w:t>。</w:t>
            </w:r>
          </w:p>
          <w:p w14:paraId="6DA46460">
            <w:pPr>
              <w:widowControl w:val="0"/>
              <w:numPr>
                <w:ilvl w:val="0"/>
                <w:numId w:val="0"/>
              </w:numPr>
              <w:spacing w:line="240" w:lineRule="auto"/>
              <w:jc w:val="both"/>
              <w:rPr>
                <w:rFonts w:hint="eastAsia"/>
              </w:rPr>
            </w:pPr>
            <w:r>
              <w:rPr>
                <w:rFonts w:hint="eastAsia"/>
                <w:lang w:val="en-US" w:eastAsia="zh-CN"/>
              </w:rPr>
              <w:t>1.</w:t>
            </w:r>
            <w:r>
              <w:rPr>
                <w:rFonts w:hint="eastAsia"/>
              </w:rPr>
              <w:t>应急处理方案包括不限于（处理能力、应急机制、沟通与协调等）具体可行，切合实际，完全满足且优于采购文件要求，得10分；</w:t>
            </w:r>
          </w:p>
          <w:p w14:paraId="19D97175">
            <w:pPr>
              <w:widowControl w:val="0"/>
              <w:numPr>
                <w:ilvl w:val="0"/>
                <w:numId w:val="0"/>
              </w:numPr>
              <w:spacing w:line="240" w:lineRule="auto"/>
              <w:jc w:val="both"/>
              <w:rPr>
                <w:rFonts w:hint="eastAsia"/>
              </w:rPr>
            </w:pPr>
            <w:r>
              <w:rPr>
                <w:rFonts w:hint="eastAsia"/>
                <w:lang w:val="en-US" w:eastAsia="zh-CN"/>
              </w:rPr>
              <w:t>2.</w:t>
            </w:r>
            <w:r>
              <w:rPr>
                <w:rFonts w:hint="eastAsia"/>
              </w:rPr>
              <w:t>应急处理方案较具体可行，较切合实际，基本满足采购文件要求，得5分；</w:t>
            </w:r>
          </w:p>
          <w:p w14:paraId="0C8A9BAC">
            <w:pPr>
              <w:widowControl w:val="0"/>
              <w:numPr>
                <w:ilvl w:val="0"/>
                <w:numId w:val="0"/>
              </w:numPr>
              <w:spacing w:line="240" w:lineRule="auto"/>
              <w:jc w:val="both"/>
              <w:rPr>
                <w:rFonts w:hint="eastAsia"/>
              </w:rPr>
            </w:pPr>
            <w:r>
              <w:rPr>
                <w:rFonts w:hint="eastAsia"/>
                <w:lang w:val="en-US" w:eastAsia="zh-CN"/>
              </w:rPr>
              <w:t>3.</w:t>
            </w:r>
            <w:r>
              <w:rPr>
                <w:rFonts w:hint="eastAsia"/>
              </w:rPr>
              <w:t>应急处理方案不具体，没有可行性，不满足采购文件要求，得1分；</w:t>
            </w:r>
          </w:p>
          <w:p w14:paraId="39911953">
            <w:pPr>
              <w:widowControl w:val="0"/>
              <w:numPr>
                <w:ilvl w:val="0"/>
                <w:numId w:val="0"/>
              </w:numPr>
              <w:spacing w:line="240" w:lineRule="auto"/>
              <w:jc w:val="both"/>
              <w:rPr>
                <w:rFonts w:ascii="宋体" w:hAnsi="宋体"/>
                <w:color w:val="000000" w:themeColor="text1"/>
                <w:szCs w:val="21"/>
                <w14:textFill>
                  <w14:solidFill>
                    <w14:schemeClr w14:val="tx1"/>
                  </w14:solidFill>
                </w14:textFill>
              </w:rPr>
            </w:pPr>
            <w:r>
              <w:rPr>
                <w:rFonts w:hint="eastAsia"/>
                <w:lang w:val="en-US" w:eastAsia="zh-CN"/>
              </w:rPr>
              <w:t>4.</w:t>
            </w:r>
            <w:r>
              <w:rPr>
                <w:rFonts w:hint="eastAsia"/>
              </w:rPr>
              <w:t>其他或不提供的，不得分。</w:t>
            </w:r>
          </w:p>
        </w:tc>
      </w:tr>
      <w:tr w14:paraId="6367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980" w:type="dxa"/>
            <w:vMerge w:val="restart"/>
            <w:shd w:val="clear" w:color="auto" w:fill="auto"/>
            <w:vAlign w:val="center"/>
          </w:tcPr>
          <w:p w14:paraId="08FCEEED">
            <w:pPr>
              <w:spacing w:line="240" w:lineRule="auto"/>
              <w:rPr>
                <w:rFonts w:ascii="宋体" w:hAnsi="宋体" w:cs="Microsoft JhengHei"/>
                <w:szCs w:val="21"/>
              </w:rPr>
            </w:pPr>
          </w:p>
          <w:p w14:paraId="1407B163">
            <w:pPr>
              <w:spacing w:line="240" w:lineRule="auto"/>
              <w:jc w:val="center"/>
              <w:rPr>
                <w:rFonts w:ascii="宋体" w:hAnsi="宋体" w:cs="Microsoft JhengHei"/>
                <w:szCs w:val="21"/>
                <w:highlight w:val="none"/>
              </w:rPr>
            </w:pPr>
            <w:r>
              <w:rPr>
                <w:rFonts w:ascii="宋体" w:hAnsi="宋体" w:cs="Microsoft JhengHei"/>
                <w:szCs w:val="21"/>
                <w:highlight w:val="none"/>
              </w:rPr>
              <w:t>商务部分</w:t>
            </w:r>
          </w:p>
          <w:p w14:paraId="3F1FB19F">
            <w:pPr>
              <w:spacing w:line="240" w:lineRule="auto"/>
              <w:jc w:val="center"/>
              <w:rPr>
                <w:rFonts w:ascii="宋体" w:hAnsi="宋体" w:cs="Microsoft JhengHei"/>
                <w:szCs w:val="21"/>
              </w:rPr>
            </w:pPr>
            <w:r>
              <w:rPr>
                <w:rFonts w:hint="eastAsia" w:ascii="宋体" w:hAnsi="宋体" w:cs="Microsoft JhengHei"/>
                <w:szCs w:val="21"/>
                <w:highlight w:val="none"/>
              </w:rPr>
              <w:t>（40分）</w:t>
            </w:r>
          </w:p>
        </w:tc>
        <w:tc>
          <w:tcPr>
            <w:tcW w:w="2609" w:type="dxa"/>
            <w:shd w:val="clear" w:color="auto" w:fill="auto"/>
            <w:vAlign w:val="center"/>
          </w:tcPr>
          <w:p w14:paraId="53D533F2">
            <w:pPr>
              <w:widowControl w:val="0"/>
              <w:spacing w:line="240" w:lineRule="auto"/>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同类项目业绩</w:t>
            </w:r>
          </w:p>
          <w:p w14:paraId="4913F08B">
            <w:pPr>
              <w:widowControl w:val="0"/>
              <w:spacing w:line="240" w:lineRule="auto"/>
              <w:jc w:val="center"/>
              <w:rPr>
                <w:rFonts w:hint="default"/>
                <w:lang w:val="en-US" w:eastAsia="zh-CN"/>
              </w:rPr>
            </w:pPr>
            <w:r>
              <w:rPr>
                <w:rFonts w:hint="eastAsia" w:ascii="宋体" w:hAnsi="宋体"/>
                <w:szCs w:val="21"/>
              </w:rPr>
              <w:t>（10分）</w:t>
            </w:r>
          </w:p>
        </w:tc>
        <w:tc>
          <w:tcPr>
            <w:tcW w:w="9161" w:type="dxa"/>
            <w:shd w:val="clear" w:color="auto" w:fill="auto"/>
            <w:vAlign w:val="center"/>
          </w:tcPr>
          <w:p w14:paraId="0ACEDFCC">
            <w:pPr>
              <w:widowControl w:val="0"/>
              <w:spacing w:line="240" w:lineRule="auto"/>
              <w:jc w:val="both"/>
              <w:rPr>
                <w:rFonts w:ascii="宋体" w:hAnsi="宋体"/>
                <w:szCs w:val="21"/>
              </w:rPr>
            </w:pPr>
            <w:r>
              <w:rPr>
                <w:rFonts w:hint="eastAsia" w:ascii="宋体" w:hAnsi="宋体"/>
                <w:szCs w:val="21"/>
              </w:rPr>
              <w:t>供应商202</w:t>
            </w:r>
            <w:r>
              <w:rPr>
                <w:rFonts w:hint="eastAsia" w:ascii="宋体" w:hAnsi="宋体"/>
                <w:szCs w:val="21"/>
                <w:lang w:val="en-US" w:eastAsia="zh-CN"/>
              </w:rPr>
              <w:t>2</w:t>
            </w:r>
            <w:r>
              <w:rPr>
                <w:rFonts w:hint="eastAsia" w:ascii="宋体" w:hAnsi="宋体"/>
                <w:szCs w:val="21"/>
              </w:rPr>
              <w:t>年1月1日以来（以合同签订的时间为准），承接过</w:t>
            </w:r>
            <w:r>
              <w:rPr>
                <w:rFonts w:hint="eastAsia" w:ascii="宋体" w:hAnsi="宋体"/>
                <w:szCs w:val="21"/>
                <w:lang w:val="en-US" w:eastAsia="zh-CN"/>
              </w:rPr>
              <w:t>政府单位</w:t>
            </w:r>
            <w:r>
              <w:rPr>
                <w:rFonts w:hint="eastAsia" w:ascii="宋体" w:hAnsi="宋体"/>
                <w:szCs w:val="21"/>
              </w:rPr>
              <w:t>宣传项目的，每提供一个得2分，累计最高得10分。</w:t>
            </w:r>
          </w:p>
          <w:p w14:paraId="7D507BDE">
            <w:pPr>
              <w:widowControl w:val="0"/>
              <w:spacing w:line="240" w:lineRule="auto"/>
              <w:jc w:val="both"/>
            </w:pPr>
            <w:r>
              <w:rPr>
                <w:rFonts w:hint="eastAsia" w:ascii="宋体" w:hAnsi="宋体"/>
                <w:szCs w:val="21"/>
              </w:rPr>
              <w:t>注：须提供合同关键页</w:t>
            </w:r>
            <w:r>
              <w:t>（含签订合同双方的单位名称、合同项目名称、项目金额与合同</w:t>
            </w:r>
            <w:r>
              <w:rPr>
                <w:rFonts w:hint="eastAsia"/>
                <w:lang w:val="en-US" w:eastAsia="zh-CN"/>
              </w:rPr>
              <w:t>签订</w:t>
            </w:r>
            <w:r>
              <w:t>双方的落款盖章、签订日期的关键页）</w:t>
            </w:r>
            <w:r>
              <w:rPr>
                <w:rFonts w:hint="eastAsia" w:ascii="宋体" w:hAnsi="宋体"/>
                <w:szCs w:val="21"/>
              </w:rPr>
              <w:t>扫描件作为证明材料。</w:t>
            </w:r>
          </w:p>
        </w:tc>
      </w:tr>
      <w:tr w14:paraId="3689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980" w:type="dxa"/>
            <w:vMerge w:val="continue"/>
            <w:shd w:val="clear" w:color="auto" w:fill="auto"/>
            <w:vAlign w:val="center"/>
          </w:tcPr>
          <w:p w14:paraId="3DE22BC2">
            <w:pPr>
              <w:spacing w:line="240" w:lineRule="auto"/>
              <w:jc w:val="center"/>
              <w:rPr>
                <w:rFonts w:ascii="宋体" w:hAnsi="宋体" w:cs="Microsoft JhengHei"/>
                <w:szCs w:val="21"/>
              </w:rPr>
            </w:pPr>
          </w:p>
        </w:tc>
        <w:tc>
          <w:tcPr>
            <w:tcW w:w="2609" w:type="dxa"/>
            <w:shd w:val="clear" w:color="auto" w:fill="auto"/>
            <w:vAlign w:val="center"/>
          </w:tcPr>
          <w:p w14:paraId="07A267D6">
            <w:pPr>
              <w:widowControl w:val="0"/>
              <w:spacing w:line="24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color w:val="000000" w:themeColor="text1"/>
                <w:szCs w:val="21"/>
                <w:lang w:val="en-US" w:eastAsia="zh-CN"/>
                <w14:textFill>
                  <w14:solidFill>
                    <w14:schemeClr w14:val="tx1"/>
                  </w14:solidFill>
                </w14:textFill>
              </w:rPr>
              <w:t>宣传</w:t>
            </w:r>
            <w:r>
              <w:rPr>
                <w:rFonts w:hint="eastAsia" w:asciiTheme="minorEastAsia" w:hAnsiTheme="minorEastAsia" w:eastAsiaTheme="minorEastAsia"/>
                <w:color w:val="000000" w:themeColor="text1"/>
                <w:szCs w:val="21"/>
                <w14:textFill>
                  <w14:solidFill>
                    <w14:schemeClr w14:val="tx1"/>
                  </w14:solidFill>
                </w14:textFill>
              </w:rPr>
              <w:t xml:space="preserve">能力 </w:t>
            </w:r>
          </w:p>
          <w:p w14:paraId="3F94A8CC">
            <w:pPr>
              <w:widowControl w:val="0"/>
              <w:spacing w:line="240" w:lineRule="auto"/>
              <w:jc w:val="center"/>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olor w:val="000000" w:themeColor="text1"/>
                <w:szCs w:val="21"/>
                <w14:textFill>
                  <w14:solidFill>
                    <w14:schemeClr w14:val="tx1"/>
                  </w14:solidFill>
                </w14:textFill>
              </w:rPr>
              <w:t>分)</w:t>
            </w:r>
          </w:p>
        </w:tc>
        <w:tc>
          <w:tcPr>
            <w:tcW w:w="9161" w:type="dxa"/>
            <w:shd w:val="clear" w:color="auto" w:fill="auto"/>
            <w:vAlign w:val="center"/>
          </w:tcPr>
          <w:p w14:paraId="68F0A2CD">
            <w:pPr>
              <w:widowControl w:val="0"/>
              <w:spacing w:line="240" w:lineRule="auto"/>
              <w:jc w:val="both"/>
            </w:pPr>
            <w:r>
              <w:rPr>
                <w:rFonts w:hint="eastAsia"/>
              </w:rPr>
              <w:t>根据</w:t>
            </w:r>
            <w:r>
              <w:t>供应商媒体</w:t>
            </w:r>
            <w:r>
              <w:rPr>
                <w:rFonts w:hint="eastAsia"/>
              </w:rPr>
              <w:t>渠道</w:t>
            </w:r>
            <w:r>
              <w:t>资源丰富</w:t>
            </w:r>
            <w:r>
              <w:rPr>
                <w:rFonts w:hint="eastAsia"/>
              </w:rPr>
              <w:t>程度</w:t>
            </w:r>
            <w:r>
              <w:t>、宣传推广途径广泛</w:t>
            </w:r>
            <w:r>
              <w:rPr>
                <w:rFonts w:hint="eastAsia"/>
              </w:rPr>
              <w:t>程度</w:t>
            </w:r>
            <w:r>
              <w:t>，</w:t>
            </w:r>
            <w:r>
              <w:rPr>
                <w:rFonts w:hint="eastAsia"/>
              </w:rPr>
              <w:t>例如是否自有</w:t>
            </w:r>
            <w:r>
              <w:rPr>
                <w:rFonts w:hint="eastAsia"/>
                <w:lang w:val="en-US" w:eastAsia="zh-CN"/>
              </w:rPr>
              <w:t>报纸</w:t>
            </w:r>
            <w:r>
              <w:rPr>
                <w:rFonts w:hint="eastAsia"/>
              </w:rPr>
              <w:t>、新媒体客户端、微博、抖音、快手、</w:t>
            </w:r>
            <w:r>
              <w:t>微信公众号等大众媒体</w:t>
            </w:r>
            <w:r>
              <w:rPr>
                <w:rFonts w:hint="eastAsia"/>
                <w:lang w:val="en-US" w:eastAsia="zh-CN"/>
              </w:rPr>
              <w:t>渠道</w:t>
            </w:r>
            <w:r>
              <w:t>资源</w:t>
            </w:r>
            <w:r>
              <w:rPr>
                <w:rFonts w:hint="eastAsia"/>
              </w:rPr>
              <w:t>。对供应商提供的媒体</w:t>
            </w:r>
            <w:r>
              <w:rPr>
                <w:rFonts w:hint="eastAsia"/>
                <w:lang w:val="en-US" w:eastAsia="zh-CN"/>
              </w:rPr>
              <w:t>渠道</w:t>
            </w:r>
            <w:bookmarkStart w:id="0" w:name="_GoBack"/>
            <w:bookmarkEnd w:id="0"/>
            <w:r>
              <w:rPr>
                <w:rFonts w:hint="eastAsia"/>
              </w:rPr>
              <w:t>资源情况进行评分：</w:t>
            </w:r>
          </w:p>
          <w:p w14:paraId="5D7DB6EE">
            <w:pPr>
              <w:widowControl w:val="0"/>
              <w:spacing w:line="240" w:lineRule="auto"/>
              <w:jc w:val="both"/>
            </w:pPr>
            <w:r>
              <w:rPr>
                <w:rFonts w:hint="eastAsia"/>
              </w:rPr>
              <w:t>1.</w:t>
            </w:r>
            <w:r>
              <w:rPr>
                <w:rFonts w:hint="eastAsia"/>
                <w:lang w:val="en-US" w:eastAsia="zh-CN"/>
              </w:rPr>
              <w:t>自有</w:t>
            </w:r>
            <w:r>
              <w:rPr>
                <w:rFonts w:hint="eastAsia"/>
              </w:rPr>
              <w:t>7种以上媒体宣传渠道的，且粉丝数累</w:t>
            </w:r>
            <w:r>
              <w:rPr>
                <w:rFonts w:hint="eastAsia"/>
                <w:lang w:val="en-US" w:eastAsia="zh-CN"/>
              </w:rPr>
              <w:t>计量≥4000万</w:t>
            </w:r>
            <w:r>
              <w:rPr>
                <w:rFonts w:hint="eastAsia"/>
              </w:rPr>
              <w:t>，得</w:t>
            </w:r>
            <w:r>
              <w:rPr>
                <w:rFonts w:hint="eastAsia"/>
                <w:lang w:val="en-US" w:eastAsia="zh-CN"/>
              </w:rPr>
              <w:t>10</w:t>
            </w:r>
            <w:r>
              <w:rPr>
                <w:rFonts w:hint="eastAsia"/>
              </w:rPr>
              <w:t>分；</w:t>
            </w:r>
          </w:p>
          <w:p w14:paraId="389EE51E">
            <w:pPr>
              <w:widowControl w:val="0"/>
              <w:spacing w:line="240" w:lineRule="auto"/>
              <w:jc w:val="both"/>
            </w:pPr>
            <w:r>
              <w:rPr>
                <w:rFonts w:hint="eastAsia"/>
              </w:rPr>
              <w:t>2.</w:t>
            </w:r>
            <w:r>
              <w:rPr>
                <w:rFonts w:hint="eastAsia"/>
                <w:lang w:val="en-US" w:eastAsia="zh-CN"/>
              </w:rPr>
              <w:t>自</w:t>
            </w:r>
            <w:r>
              <w:rPr>
                <w:rFonts w:hint="eastAsia"/>
              </w:rPr>
              <w:t>有4种以上媒体宣传渠道的，且</w:t>
            </w:r>
            <w:r>
              <w:rPr>
                <w:rFonts w:hint="eastAsia"/>
                <w:lang w:val="en-US" w:eastAsia="zh-CN"/>
              </w:rPr>
              <w:t>2000万</w:t>
            </w:r>
            <w:r>
              <w:rPr>
                <w:rFonts w:hint="eastAsia"/>
              </w:rPr>
              <w:t>≤粉丝数累</w:t>
            </w:r>
            <w:r>
              <w:rPr>
                <w:rFonts w:hint="eastAsia"/>
                <w:lang w:val="en-US" w:eastAsia="zh-CN"/>
              </w:rPr>
              <w:t>计&lt;4000万</w:t>
            </w:r>
            <w:r>
              <w:rPr>
                <w:rFonts w:hint="eastAsia"/>
              </w:rPr>
              <w:t>，得</w:t>
            </w:r>
            <w:r>
              <w:rPr>
                <w:rFonts w:hint="eastAsia"/>
                <w:lang w:val="en-US" w:eastAsia="zh-CN"/>
              </w:rPr>
              <w:t>5</w:t>
            </w:r>
            <w:r>
              <w:rPr>
                <w:rFonts w:hint="eastAsia"/>
              </w:rPr>
              <w:t>分；</w:t>
            </w:r>
          </w:p>
          <w:p w14:paraId="34D6E617">
            <w:pPr>
              <w:widowControl w:val="0"/>
              <w:spacing w:line="240" w:lineRule="auto"/>
              <w:jc w:val="both"/>
            </w:pPr>
            <w:r>
              <w:rPr>
                <w:rFonts w:hint="eastAsia"/>
              </w:rPr>
              <w:t>3.</w:t>
            </w:r>
            <w:r>
              <w:rPr>
                <w:rFonts w:hint="eastAsia"/>
                <w:lang w:val="en-US" w:eastAsia="zh-CN"/>
              </w:rPr>
              <w:t>自</w:t>
            </w:r>
            <w:r>
              <w:rPr>
                <w:rFonts w:hint="eastAsia"/>
              </w:rPr>
              <w:t>有2种以上媒体宣传渠道的，且粉丝数累计</w:t>
            </w:r>
            <w:r>
              <w:rPr>
                <w:rFonts w:hint="eastAsia"/>
                <w:lang w:val="en-US" w:eastAsia="zh-CN"/>
              </w:rPr>
              <w:t>&lt;2000</w:t>
            </w:r>
            <w:r>
              <w:rPr>
                <w:rFonts w:hint="eastAsia"/>
              </w:rPr>
              <w:t>万，得1分；</w:t>
            </w:r>
          </w:p>
          <w:p w14:paraId="26F7F515">
            <w:pPr>
              <w:widowControl w:val="0"/>
              <w:spacing w:line="240" w:lineRule="auto"/>
              <w:jc w:val="both"/>
            </w:pPr>
            <w:r>
              <w:rPr>
                <w:rFonts w:hint="eastAsia"/>
              </w:rPr>
              <w:t>4.</w:t>
            </w:r>
            <w:r>
              <w:t>未提交</w:t>
            </w:r>
            <w:r>
              <w:rPr>
                <w:rFonts w:hint="eastAsia"/>
              </w:rPr>
              <w:t>相关</w:t>
            </w:r>
            <w:r>
              <w:t>内容</w:t>
            </w:r>
            <w:r>
              <w:rPr>
                <w:rFonts w:hint="eastAsia"/>
              </w:rPr>
              <w:t>，</w:t>
            </w:r>
            <w:r>
              <w:t>得0分。</w:t>
            </w:r>
          </w:p>
          <w:p w14:paraId="68DE73CD">
            <w:pPr>
              <w:widowControl w:val="0"/>
              <w:spacing w:line="240" w:lineRule="auto"/>
              <w:jc w:val="both"/>
              <w:rPr>
                <w:rFonts w:ascii="宋体" w:hAnsi="宋体"/>
                <w:color w:val="000000" w:themeColor="text1"/>
                <w:szCs w:val="21"/>
                <w14:textFill>
                  <w14:solidFill>
                    <w14:schemeClr w14:val="tx1"/>
                  </w14:solidFill>
                </w14:textFill>
              </w:rPr>
            </w:pPr>
            <w:r>
              <w:t>注：</w:t>
            </w:r>
            <w:r>
              <w:rPr>
                <w:rFonts w:hint="eastAsia"/>
              </w:rPr>
              <w:t>须</w:t>
            </w:r>
            <w:r>
              <w:t>提供相关有效证明资料复印件并加盖</w:t>
            </w:r>
            <w:r>
              <w:rPr>
                <w:rFonts w:hint="eastAsia"/>
              </w:rPr>
              <w:t>供应商</w:t>
            </w:r>
            <w:r>
              <w:t>公章。</w:t>
            </w:r>
          </w:p>
        </w:tc>
      </w:tr>
      <w:tr w14:paraId="0F08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980" w:type="dxa"/>
            <w:vMerge w:val="continue"/>
            <w:shd w:val="clear" w:color="auto" w:fill="auto"/>
            <w:vAlign w:val="center"/>
          </w:tcPr>
          <w:p w14:paraId="326561AE">
            <w:pPr>
              <w:spacing w:line="240" w:lineRule="auto"/>
              <w:jc w:val="center"/>
              <w:rPr>
                <w:rFonts w:ascii="宋体" w:hAnsi="宋体" w:cs="Microsoft JhengHei"/>
                <w:szCs w:val="21"/>
              </w:rPr>
            </w:pPr>
          </w:p>
        </w:tc>
        <w:tc>
          <w:tcPr>
            <w:tcW w:w="2609" w:type="dxa"/>
            <w:shd w:val="clear" w:color="auto" w:fill="auto"/>
            <w:vAlign w:val="center"/>
          </w:tcPr>
          <w:p w14:paraId="55AEF129">
            <w:pPr>
              <w:widowControl w:val="0"/>
              <w:spacing w:line="240" w:lineRule="auto"/>
              <w:jc w:val="center"/>
              <w:rPr>
                <w:rFonts w:ascii="宋体" w:hAnsi="宋体"/>
                <w:szCs w:val="21"/>
                <w:highlight w:val="none"/>
              </w:rPr>
            </w:pPr>
            <w:r>
              <w:rPr>
                <w:rFonts w:hint="eastAsia" w:ascii="宋体" w:hAnsi="宋体"/>
                <w:szCs w:val="21"/>
                <w:highlight w:val="none"/>
              </w:rPr>
              <w:t>供应商荣誉情况</w:t>
            </w:r>
          </w:p>
          <w:p w14:paraId="5E22998F">
            <w:pPr>
              <w:widowControl w:val="0"/>
              <w:spacing w:line="240" w:lineRule="auto"/>
              <w:jc w:val="center"/>
            </w:pPr>
            <w:r>
              <w:rPr>
                <w:rFonts w:hint="eastAsia" w:ascii="宋体" w:hAnsi="宋体"/>
                <w:szCs w:val="21"/>
                <w:highlight w:val="none"/>
              </w:rPr>
              <w:t>（8分）</w:t>
            </w:r>
          </w:p>
        </w:tc>
        <w:tc>
          <w:tcPr>
            <w:tcW w:w="9161" w:type="dxa"/>
            <w:shd w:val="clear" w:color="auto" w:fill="auto"/>
            <w:vAlign w:val="center"/>
          </w:tcPr>
          <w:p w14:paraId="568582BF">
            <w:pPr>
              <w:widowControl w:val="0"/>
              <w:spacing w:line="240" w:lineRule="auto"/>
              <w:jc w:val="both"/>
              <w:rPr>
                <w:rFonts w:ascii="宋体" w:hAnsi="宋体"/>
                <w:szCs w:val="21"/>
              </w:rPr>
            </w:pPr>
            <w:r>
              <w:rPr>
                <w:rFonts w:hint="eastAsia" w:ascii="宋体" w:hAnsi="宋体"/>
                <w:szCs w:val="21"/>
              </w:rPr>
              <w:t>根据供应商自2020年1月1日以来获得过的有关政府部门颁发的媒体类或宣传类</w:t>
            </w:r>
            <w:r>
              <w:rPr>
                <w:rFonts w:hint="eastAsia" w:ascii="宋体" w:hAnsi="宋体"/>
                <w:szCs w:val="21"/>
                <w:lang w:val="en-US" w:eastAsia="zh-CN"/>
              </w:rPr>
              <w:t>的</w:t>
            </w:r>
            <w:r>
              <w:rPr>
                <w:rFonts w:hint="eastAsia" w:ascii="宋体" w:hAnsi="宋体"/>
                <w:szCs w:val="21"/>
              </w:rPr>
              <w:t>奖项、荣誉情况，每提供一个得2分，累计最高得8分。</w:t>
            </w:r>
          </w:p>
          <w:p w14:paraId="6E6C3DB0">
            <w:pPr>
              <w:widowControl w:val="0"/>
              <w:spacing w:line="240" w:lineRule="auto"/>
              <w:jc w:val="both"/>
              <w:rPr>
                <w:rFonts w:ascii="宋体" w:hAnsi="宋体"/>
                <w:szCs w:val="21"/>
              </w:rPr>
            </w:pPr>
            <w:r>
              <w:rPr>
                <w:rFonts w:hint="eastAsia" w:ascii="宋体" w:hAnsi="宋体"/>
                <w:szCs w:val="21"/>
              </w:rPr>
              <w:t>注：须提供相关证书复印件等证明材料并加盖公章。</w:t>
            </w:r>
          </w:p>
        </w:tc>
      </w:tr>
      <w:tr w14:paraId="56E2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980" w:type="dxa"/>
            <w:vMerge w:val="continue"/>
            <w:shd w:val="clear" w:color="auto" w:fill="auto"/>
            <w:vAlign w:val="center"/>
          </w:tcPr>
          <w:p w14:paraId="73E0A946">
            <w:pPr>
              <w:spacing w:line="240" w:lineRule="auto"/>
              <w:jc w:val="center"/>
              <w:rPr>
                <w:rFonts w:ascii="宋体" w:hAnsi="宋体" w:cs="Microsoft JhengHei"/>
                <w:szCs w:val="21"/>
              </w:rPr>
            </w:pPr>
          </w:p>
        </w:tc>
        <w:tc>
          <w:tcPr>
            <w:tcW w:w="2609" w:type="dxa"/>
            <w:shd w:val="clear" w:color="auto" w:fill="auto"/>
            <w:vAlign w:val="center"/>
          </w:tcPr>
          <w:p w14:paraId="7C992309">
            <w:pPr>
              <w:widowControl w:val="0"/>
              <w:spacing w:line="240" w:lineRule="auto"/>
              <w:jc w:val="center"/>
              <w:rPr>
                <w:rFonts w:ascii="宋体" w:hAnsi="宋体"/>
                <w:szCs w:val="21"/>
                <w:highlight w:val="none"/>
              </w:rPr>
            </w:pPr>
            <w:r>
              <w:rPr>
                <w:rFonts w:hint="eastAsia" w:ascii="宋体" w:hAnsi="宋体"/>
                <w:szCs w:val="21"/>
                <w:highlight w:val="none"/>
              </w:rPr>
              <w:t>拟投入本项目的项目负责人及团队成员情况</w:t>
            </w:r>
          </w:p>
          <w:p w14:paraId="55BE51A1">
            <w:pPr>
              <w:widowControl w:val="0"/>
              <w:spacing w:line="240" w:lineRule="auto"/>
              <w:jc w:val="center"/>
              <w:rPr>
                <w:rFonts w:ascii="Times New Roman" w:hAnsi="Times New Roman" w:eastAsia="仿宋_GB2312" w:cs="Times New Roman"/>
                <w:kern w:val="2"/>
                <w:sz w:val="21"/>
                <w:szCs w:val="24"/>
                <w:lang w:val="en-US" w:eastAsia="zh-CN" w:bidi="ar-SA"/>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分）</w:t>
            </w:r>
          </w:p>
        </w:tc>
        <w:tc>
          <w:tcPr>
            <w:tcW w:w="9161" w:type="dxa"/>
            <w:shd w:val="clear" w:color="auto" w:fill="auto"/>
            <w:vAlign w:val="center"/>
          </w:tcPr>
          <w:p w14:paraId="5C6CC97B">
            <w:pPr>
              <w:widowControl w:val="0"/>
              <w:spacing w:line="240" w:lineRule="auto"/>
              <w:jc w:val="both"/>
              <w:rPr>
                <w:rFonts w:ascii="宋体" w:hAnsi="宋体"/>
                <w:szCs w:val="21"/>
              </w:rPr>
            </w:pPr>
            <w:r>
              <w:rPr>
                <w:rFonts w:hint="eastAsia" w:ascii="宋体" w:hAnsi="宋体"/>
                <w:szCs w:val="21"/>
              </w:rPr>
              <w:t>1.项目负责人具有媒体</w:t>
            </w:r>
            <w:r>
              <w:rPr>
                <w:rFonts w:hint="eastAsia" w:ascii="宋体" w:hAnsi="宋体"/>
                <w:szCs w:val="21"/>
                <w:lang w:val="en-US" w:eastAsia="zh-CN"/>
              </w:rPr>
              <w:t>类</w:t>
            </w:r>
            <w:r>
              <w:rPr>
                <w:rFonts w:hint="eastAsia" w:ascii="宋体" w:hAnsi="宋体"/>
                <w:szCs w:val="21"/>
              </w:rPr>
              <w:t>或宣传类</w:t>
            </w:r>
            <w:r>
              <w:rPr>
                <w:rFonts w:hint="eastAsia" w:ascii="宋体" w:hAnsi="宋体"/>
                <w:szCs w:val="21"/>
                <w:lang w:val="en-US" w:eastAsia="zh-CN"/>
              </w:rPr>
              <w:t>副高级</w:t>
            </w:r>
            <w:r>
              <w:rPr>
                <w:rFonts w:hint="eastAsia" w:ascii="宋体" w:hAnsi="宋体"/>
                <w:szCs w:val="21"/>
              </w:rPr>
              <w:t>或以上职称</w:t>
            </w:r>
            <w:r>
              <w:rPr>
                <w:rFonts w:hint="eastAsia" w:ascii="宋体" w:hAnsi="宋体"/>
                <w:szCs w:val="21"/>
                <w:lang w:val="en-US" w:eastAsia="zh-CN"/>
              </w:rPr>
              <w:t>的，得4分，具有相关中级职称的得2分，没有的不得分</w:t>
            </w:r>
            <w:r>
              <w:rPr>
                <w:rFonts w:hint="eastAsia" w:ascii="宋体" w:hAnsi="宋体"/>
                <w:szCs w:val="21"/>
              </w:rPr>
              <w:t>。</w:t>
            </w:r>
          </w:p>
          <w:p w14:paraId="773043C0">
            <w:pPr>
              <w:widowControl w:val="0"/>
              <w:spacing w:line="240" w:lineRule="auto"/>
              <w:jc w:val="both"/>
              <w:rPr>
                <w:rFonts w:ascii="宋体" w:hAnsi="宋体"/>
                <w:szCs w:val="21"/>
              </w:rPr>
            </w:pPr>
            <w:r>
              <w:rPr>
                <w:rFonts w:hint="eastAsia" w:ascii="宋体" w:hAnsi="宋体"/>
                <w:szCs w:val="21"/>
              </w:rPr>
              <w:t>2.项目团队成员具有媒体类或宣传类中级或以上职称的，每提供一人得2分，累计最高得</w:t>
            </w:r>
            <w:r>
              <w:rPr>
                <w:rFonts w:hint="eastAsia" w:ascii="宋体" w:hAnsi="宋体"/>
                <w:szCs w:val="21"/>
                <w:lang w:val="en-US" w:eastAsia="zh-CN"/>
              </w:rPr>
              <w:t>8</w:t>
            </w:r>
            <w:r>
              <w:rPr>
                <w:rFonts w:hint="eastAsia" w:ascii="宋体" w:hAnsi="宋体"/>
                <w:szCs w:val="21"/>
              </w:rPr>
              <w:t>分。</w:t>
            </w:r>
          </w:p>
          <w:p w14:paraId="15237051">
            <w:pPr>
              <w:widowControl w:val="0"/>
              <w:spacing w:line="240" w:lineRule="auto"/>
              <w:jc w:val="both"/>
              <w:rPr>
                <w:rFonts w:ascii="宋体" w:hAnsi="宋体" w:eastAsia="宋体" w:cs="Times New Roman"/>
                <w:kern w:val="2"/>
                <w:sz w:val="21"/>
                <w:szCs w:val="21"/>
                <w:lang w:val="en-US" w:eastAsia="zh-CN" w:bidi="ar-SA"/>
              </w:rPr>
            </w:pPr>
            <w:r>
              <w:rPr>
                <w:rFonts w:hint="eastAsia" w:ascii="宋体" w:hAnsi="宋体"/>
                <w:szCs w:val="21"/>
              </w:rPr>
              <w:t>注：同一人获得多个职称的按最高职称计算，须同时提供以上职称证明材料及以上人员在供应商单位任职的证明材料（如近6个月在供应商单位</w:t>
            </w:r>
            <w:r>
              <w:rPr>
                <w:rFonts w:hint="eastAsia" w:ascii="宋体" w:hAnsi="宋体"/>
                <w:szCs w:val="21"/>
                <w:lang w:val="en-US" w:eastAsia="zh-CN"/>
              </w:rPr>
              <w:t>任意1个月</w:t>
            </w:r>
            <w:r>
              <w:rPr>
                <w:rFonts w:hint="eastAsia" w:ascii="宋体" w:hAnsi="宋体"/>
                <w:szCs w:val="21"/>
              </w:rPr>
              <w:t>的社保缴费记录；如该人员依法免税或不需要缴纳社会保障资金的，须提供相应证明材料）。无提供或提供不全的不得分。</w:t>
            </w:r>
          </w:p>
        </w:tc>
      </w:tr>
      <w:tr w14:paraId="5CA4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14:paraId="497E90EC">
            <w:pPr>
              <w:widowControl w:val="0"/>
              <w:spacing w:line="240" w:lineRule="auto"/>
              <w:jc w:val="center"/>
              <w:rPr>
                <w:rFonts w:ascii="宋体" w:hAnsi="宋体"/>
                <w:szCs w:val="21"/>
              </w:rPr>
            </w:pPr>
            <w:r>
              <w:rPr>
                <w:rFonts w:hint="eastAsia" w:ascii="宋体" w:hAnsi="宋体"/>
                <w:szCs w:val="21"/>
              </w:rPr>
              <w:t>价格部</w:t>
            </w:r>
            <w:r>
              <w:rPr>
                <w:rFonts w:ascii="宋体" w:hAnsi="宋体"/>
                <w:szCs w:val="21"/>
              </w:rPr>
              <w:t>分</w:t>
            </w:r>
          </w:p>
          <w:p w14:paraId="1D084726">
            <w:pPr>
              <w:widowControl w:val="0"/>
              <w:spacing w:line="240" w:lineRule="auto"/>
              <w:jc w:val="center"/>
              <w:rPr>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0分）</w:t>
            </w:r>
          </w:p>
        </w:tc>
        <w:tc>
          <w:tcPr>
            <w:tcW w:w="2609" w:type="dxa"/>
            <w:shd w:val="clear" w:color="auto" w:fill="auto"/>
            <w:vAlign w:val="center"/>
          </w:tcPr>
          <w:p w14:paraId="59F687C1">
            <w:pPr>
              <w:widowControl w:val="0"/>
              <w:spacing w:line="240" w:lineRule="auto"/>
              <w:jc w:val="center"/>
              <w:rPr>
                <w:rFonts w:ascii="宋体" w:hAnsi="宋体"/>
                <w:szCs w:val="21"/>
              </w:rPr>
            </w:pPr>
            <w:r>
              <w:rPr>
                <w:rFonts w:hint="eastAsia" w:ascii="宋体" w:hAnsi="宋体"/>
                <w:szCs w:val="21"/>
              </w:rPr>
              <w:t>价格</w:t>
            </w:r>
            <w:r>
              <w:rPr>
                <w:rFonts w:ascii="宋体" w:hAnsi="宋体"/>
                <w:szCs w:val="21"/>
              </w:rPr>
              <w:t>得分</w:t>
            </w:r>
          </w:p>
          <w:p w14:paraId="485F50B2">
            <w:pPr>
              <w:widowControl w:val="0"/>
              <w:spacing w:line="24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0分）</w:t>
            </w:r>
          </w:p>
        </w:tc>
        <w:tc>
          <w:tcPr>
            <w:tcW w:w="9161" w:type="dxa"/>
            <w:shd w:val="clear" w:color="auto" w:fill="auto"/>
            <w:vAlign w:val="center"/>
          </w:tcPr>
          <w:p w14:paraId="13D2CAF8">
            <w:pPr>
              <w:widowControl w:val="0"/>
              <w:spacing w:line="240" w:lineRule="auto"/>
              <w:jc w:val="both"/>
              <w:rPr>
                <w:rFonts w:ascii="宋体" w:hAnsi="宋体"/>
                <w:szCs w:val="21"/>
              </w:rPr>
            </w:pPr>
            <w:r>
              <w:rPr>
                <w:rFonts w:hint="eastAsia" w:ascii="宋体" w:hAnsi="宋体"/>
                <w:szCs w:val="21"/>
              </w:rPr>
              <w:t>价格</w:t>
            </w:r>
            <w:r>
              <w:rPr>
                <w:rFonts w:ascii="宋体" w:hAnsi="宋体"/>
                <w:szCs w:val="21"/>
              </w:rPr>
              <w:t>得分=</w:t>
            </w:r>
            <w:r>
              <w:rPr>
                <w:rFonts w:hint="eastAsia" w:ascii="宋体" w:hAnsi="宋体"/>
                <w:szCs w:val="21"/>
              </w:rPr>
              <w:t>（基准价/报价）*价格评分权重。</w:t>
            </w:r>
          </w:p>
          <w:p w14:paraId="2F615ACD">
            <w:pPr>
              <w:widowControl w:val="0"/>
              <w:spacing w:after="120" w:line="240" w:lineRule="auto"/>
              <w:jc w:val="both"/>
              <w:rPr>
                <w:rFonts w:ascii="宋体" w:hAnsi="宋体"/>
                <w:szCs w:val="21"/>
              </w:rPr>
            </w:pPr>
            <w:r>
              <w:rPr>
                <w:rFonts w:hint="eastAsia" w:ascii="宋体" w:hAnsi="宋体"/>
                <w:szCs w:val="21"/>
              </w:rPr>
              <w:t>说明：取最低报价为基准价。</w:t>
            </w:r>
          </w:p>
        </w:tc>
      </w:tr>
      <w:tr w14:paraId="1000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0" w:type="dxa"/>
            <w:shd w:val="clear" w:color="auto" w:fill="auto"/>
            <w:vAlign w:val="center"/>
          </w:tcPr>
          <w:p w14:paraId="42FAFEC2">
            <w:pPr>
              <w:spacing w:line="240" w:lineRule="auto"/>
              <w:jc w:val="center"/>
              <w:rPr>
                <w:rFonts w:ascii="宋体" w:hAnsi="宋体" w:cs="Microsoft JhengHei"/>
                <w:szCs w:val="21"/>
              </w:rPr>
            </w:pPr>
            <w:r>
              <w:rPr>
                <w:rFonts w:hint="eastAsia" w:ascii="宋体" w:hAnsi="宋体" w:cs="Microsoft JhengHei"/>
                <w:szCs w:val="21"/>
              </w:rPr>
              <w:t>总分</w:t>
            </w:r>
          </w:p>
        </w:tc>
        <w:tc>
          <w:tcPr>
            <w:tcW w:w="2609" w:type="dxa"/>
            <w:shd w:val="clear" w:color="auto" w:fill="auto"/>
            <w:vAlign w:val="center"/>
          </w:tcPr>
          <w:p w14:paraId="1F2B3477">
            <w:pPr>
              <w:widowControl w:val="0"/>
              <w:spacing w:line="240" w:lineRule="auto"/>
              <w:jc w:val="center"/>
              <w:rPr>
                <w:rFonts w:ascii="宋体" w:hAnsi="宋体"/>
                <w:szCs w:val="21"/>
              </w:rPr>
            </w:pPr>
            <w:r>
              <w:rPr>
                <w:rFonts w:hint="eastAsia" w:ascii="宋体" w:hAnsi="宋体"/>
                <w:szCs w:val="21"/>
              </w:rPr>
              <w:t>100分</w:t>
            </w:r>
          </w:p>
        </w:tc>
        <w:tc>
          <w:tcPr>
            <w:tcW w:w="9161" w:type="dxa"/>
            <w:shd w:val="clear" w:color="auto" w:fill="auto"/>
            <w:vAlign w:val="center"/>
          </w:tcPr>
          <w:p w14:paraId="7AB26E55">
            <w:pPr>
              <w:widowControl w:val="0"/>
              <w:spacing w:line="240" w:lineRule="auto"/>
              <w:jc w:val="both"/>
              <w:rPr>
                <w:rFonts w:ascii="宋体" w:hAnsi="宋体"/>
                <w:szCs w:val="21"/>
              </w:rPr>
            </w:pPr>
          </w:p>
        </w:tc>
      </w:tr>
    </w:tbl>
    <w:p w14:paraId="06468A68">
      <w:pPr>
        <w:pStyle w:val="2"/>
        <w:ind w:left="0" w:firstLine="0" w:firstLineChars="0"/>
        <w:rPr>
          <w:szCs w:val="32"/>
        </w:rPr>
      </w:pPr>
    </w:p>
    <w:sectPr>
      <w:pgSz w:w="16838" w:h="11906" w:orient="landscape"/>
      <w:pgMar w:top="1803" w:right="1440" w:bottom="1803"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GM0MjVjNDI5NmIzOGMxZGY2NzEzMzYzNWU3NjkifQ=="/>
  </w:docVars>
  <w:rsids>
    <w:rsidRoot w:val="52274061"/>
    <w:rsid w:val="00005D24"/>
    <w:rsid w:val="000242B9"/>
    <w:rsid w:val="0005686F"/>
    <w:rsid w:val="000A2FD7"/>
    <w:rsid w:val="000E1954"/>
    <w:rsid w:val="00101119"/>
    <w:rsid w:val="00110D52"/>
    <w:rsid w:val="00116321"/>
    <w:rsid w:val="00194C81"/>
    <w:rsid w:val="001F5A48"/>
    <w:rsid w:val="00200881"/>
    <w:rsid w:val="00210A9F"/>
    <w:rsid w:val="002567DF"/>
    <w:rsid w:val="00257C3A"/>
    <w:rsid w:val="0028061B"/>
    <w:rsid w:val="002B5045"/>
    <w:rsid w:val="002E7805"/>
    <w:rsid w:val="00301E0E"/>
    <w:rsid w:val="003236D2"/>
    <w:rsid w:val="003455E0"/>
    <w:rsid w:val="00347D3A"/>
    <w:rsid w:val="00407EF2"/>
    <w:rsid w:val="0041100B"/>
    <w:rsid w:val="00466429"/>
    <w:rsid w:val="00473210"/>
    <w:rsid w:val="004866A5"/>
    <w:rsid w:val="004A7B42"/>
    <w:rsid w:val="004B4889"/>
    <w:rsid w:val="00535336"/>
    <w:rsid w:val="00541707"/>
    <w:rsid w:val="005610D2"/>
    <w:rsid w:val="00574532"/>
    <w:rsid w:val="005770F5"/>
    <w:rsid w:val="005817A5"/>
    <w:rsid w:val="005F65CD"/>
    <w:rsid w:val="00682A2C"/>
    <w:rsid w:val="006A7D10"/>
    <w:rsid w:val="006B5156"/>
    <w:rsid w:val="006C7B4E"/>
    <w:rsid w:val="006E3AD8"/>
    <w:rsid w:val="006F0B94"/>
    <w:rsid w:val="007C3002"/>
    <w:rsid w:val="007C5A1F"/>
    <w:rsid w:val="007D4A59"/>
    <w:rsid w:val="008C07C2"/>
    <w:rsid w:val="009277FA"/>
    <w:rsid w:val="009364DA"/>
    <w:rsid w:val="00944C1B"/>
    <w:rsid w:val="00956819"/>
    <w:rsid w:val="00963A6D"/>
    <w:rsid w:val="009B24C4"/>
    <w:rsid w:val="00A225BB"/>
    <w:rsid w:val="00A815FA"/>
    <w:rsid w:val="00A87DA2"/>
    <w:rsid w:val="00AB5AA8"/>
    <w:rsid w:val="00AE272C"/>
    <w:rsid w:val="00B127A2"/>
    <w:rsid w:val="00B72689"/>
    <w:rsid w:val="00B86168"/>
    <w:rsid w:val="00C54E5D"/>
    <w:rsid w:val="00C9258E"/>
    <w:rsid w:val="00C93470"/>
    <w:rsid w:val="00CA5024"/>
    <w:rsid w:val="00CF0907"/>
    <w:rsid w:val="00D16B94"/>
    <w:rsid w:val="00D22CC9"/>
    <w:rsid w:val="00D42710"/>
    <w:rsid w:val="00DA350C"/>
    <w:rsid w:val="00DD7B65"/>
    <w:rsid w:val="00E447D5"/>
    <w:rsid w:val="00E64FF7"/>
    <w:rsid w:val="00E825AC"/>
    <w:rsid w:val="00EA2D82"/>
    <w:rsid w:val="00EB6B1F"/>
    <w:rsid w:val="00F10FEA"/>
    <w:rsid w:val="00F2670B"/>
    <w:rsid w:val="00FF30A1"/>
    <w:rsid w:val="010D7DD7"/>
    <w:rsid w:val="015720A0"/>
    <w:rsid w:val="021B4775"/>
    <w:rsid w:val="04E90B5B"/>
    <w:rsid w:val="05107E95"/>
    <w:rsid w:val="057C584B"/>
    <w:rsid w:val="07DE24CD"/>
    <w:rsid w:val="08EE6740"/>
    <w:rsid w:val="0A30196D"/>
    <w:rsid w:val="0A5E44AC"/>
    <w:rsid w:val="0A7B50A1"/>
    <w:rsid w:val="0C110909"/>
    <w:rsid w:val="0FF02D9D"/>
    <w:rsid w:val="101173EF"/>
    <w:rsid w:val="10BF31AB"/>
    <w:rsid w:val="10D426BF"/>
    <w:rsid w:val="11F528ED"/>
    <w:rsid w:val="13791F89"/>
    <w:rsid w:val="14DD6852"/>
    <w:rsid w:val="165C6FF9"/>
    <w:rsid w:val="19D84FCE"/>
    <w:rsid w:val="1A6631B9"/>
    <w:rsid w:val="1B811013"/>
    <w:rsid w:val="1C17734C"/>
    <w:rsid w:val="1EA00084"/>
    <w:rsid w:val="1F130856"/>
    <w:rsid w:val="20A84A2C"/>
    <w:rsid w:val="21992DFB"/>
    <w:rsid w:val="23130E25"/>
    <w:rsid w:val="237B3365"/>
    <w:rsid w:val="273F48DE"/>
    <w:rsid w:val="28B36076"/>
    <w:rsid w:val="2EDA6B83"/>
    <w:rsid w:val="309061AB"/>
    <w:rsid w:val="32D6639B"/>
    <w:rsid w:val="359D30F8"/>
    <w:rsid w:val="364A0BAA"/>
    <w:rsid w:val="36716136"/>
    <w:rsid w:val="37621F23"/>
    <w:rsid w:val="3ABA760D"/>
    <w:rsid w:val="3B64626A"/>
    <w:rsid w:val="3C346316"/>
    <w:rsid w:val="3FC43048"/>
    <w:rsid w:val="3FD31C10"/>
    <w:rsid w:val="40BB2DD0"/>
    <w:rsid w:val="43D57920"/>
    <w:rsid w:val="494519AE"/>
    <w:rsid w:val="4A49144C"/>
    <w:rsid w:val="4B6E0A3F"/>
    <w:rsid w:val="503840C7"/>
    <w:rsid w:val="509166B3"/>
    <w:rsid w:val="51B03B5F"/>
    <w:rsid w:val="52274061"/>
    <w:rsid w:val="536C61AC"/>
    <w:rsid w:val="54624EB9"/>
    <w:rsid w:val="54992FD0"/>
    <w:rsid w:val="56C90325"/>
    <w:rsid w:val="57835872"/>
    <w:rsid w:val="585B059D"/>
    <w:rsid w:val="59C86619"/>
    <w:rsid w:val="5BE663CF"/>
    <w:rsid w:val="5D7A7717"/>
    <w:rsid w:val="5DEA3048"/>
    <w:rsid w:val="5E93283E"/>
    <w:rsid w:val="5F8849A5"/>
    <w:rsid w:val="5FF7504F"/>
    <w:rsid w:val="620A6539"/>
    <w:rsid w:val="64354398"/>
    <w:rsid w:val="67EA3883"/>
    <w:rsid w:val="68F930C3"/>
    <w:rsid w:val="694035C3"/>
    <w:rsid w:val="69C47BE4"/>
    <w:rsid w:val="69CE1F0C"/>
    <w:rsid w:val="6F0B1487"/>
    <w:rsid w:val="6F857F81"/>
    <w:rsid w:val="6FEA32B1"/>
    <w:rsid w:val="70DF72B6"/>
    <w:rsid w:val="72DF5F1A"/>
    <w:rsid w:val="74281823"/>
    <w:rsid w:val="748B29AD"/>
    <w:rsid w:val="749B49EB"/>
    <w:rsid w:val="7544268D"/>
    <w:rsid w:val="75521F0A"/>
    <w:rsid w:val="758962F1"/>
    <w:rsid w:val="76A34141"/>
    <w:rsid w:val="780A5F0F"/>
    <w:rsid w:val="792B4B56"/>
    <w:rsid w:val="79B53B59"/>
    <w:rsid w:val="7AD149C3"/>
    <w:rsid w:val="7C016BE2"/>
    <w:rsid w:val="7CC40FE0"/>
    <w:rsid w:val="7CE87DA1"/>
    <w:rsid w:val="7D074145"/>
    <w:rsid w:val="7DBA1C2F"/>
    <w:rsid w:val="7EFB2786"/>
    <w:rsid w:val="EFCEB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left="200" w:firstLine="200"/>
    </w:pPr>
  </w:style>
  <w:style w:type="paragraph" w:styleId="3">
    <w:name w:val="Body Text Indent"/>
    <w:basedOn w:val="1"/>
    <w:qFormat/>
    <w:uiPriority w:val="0"/>
    <w:pPr>
      <w:ind w:firstLine="830" w:firstLineChars="352"/>
    </w:pPr>
    <w:rPr>
      <w:rFonts w:ascii="仿宋_GB2312" w:eastAsia="仿宋_GB2312"/>
      <w:kern w:val="0"/>
      <w:sz w:val="32"/>
    </w:rPr>
  </w:style>
  <w:style w:type="paragraph" w:styleId="4">
    <w:name w:val="Balloon Text"/>
    <w:basedOn w:val="1"/>
    <w:link w:val="13"/>
    <w:qFormat/>
    <w:uiPriority w:val="0"/>
    <w:pPr>
      <w:spacing w:line="240" w:lineRule="auto"/>
    </w:pPr>
    <w:rPr>
      <w:sz w:val="18"/>
      <w:szCs w:val="18"/>
    </w:rPr>
  </w:style>
  <w:style w:type="paragraph" w:styleId="5">
    <w:name w:val="footer"/>
    <w:basedOn w:val="1"/>
    <w:link w:val="10"/>
    <w:qFormat/>
    <w:uiPriority w:val="0"/>
    <w:pPr>
      <w:tabs>
        <w:tab w:val="center" w:pos="4153"/>
        <w:tab w:val="right" w:pos="8306"/>
      </w:tabs>
      <w:snapToGrid w:val="0"/>
      <w:spacing w:line="240" w:lineRule="atLeas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paragraph" w:customStyle="1" w:styleId="12">
    <w:name w:val="Table Paragraph"/>
    <w:basedOn w:val="1"/>
    <w:qFormat/>
    <w:uiPriority w:val="1"/>
  </w:style>
  <w:style w:type="character" w:customStyle="1" w:styleId="13">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1524</Words>
  <Characters>1592</Characters>
  <Lines>11</Lines>
  <Paragraphs>3</Paragraphs>
  <TotalTime>4</TotalTime>
  <ScaleCrop>false</ScaleCrop>
  <LinksUpToDate>false</LinksUpToDate>
  <CharactersWithSpaces>1595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2023-11-29T07:16:00Z</dcterms:created>
  <dc:creator>liuch</dc:creator>
  <cp:lastModifiedBy>Ray</cp:lastModifiedBy>
  <cp:lastPrinted>2022-09-16T08:37:00Z</cp:lastPrinted>
  <dcterms:modified xsi:type="dcterms:W3CDTF">2025-02-25T06:21:33Z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C254A5295615458DB992FA55EDB68466_13</vt:lpwstr>
  </property>
  <property fmtid="{D5CDD505-2E9C-101B-9397-08002B2CF9AE}" pid="4" name="KSOTemplateDocerSaveRecord">
    <vt:lpwstr>eyJoZGlkIjoiMmNiOGM0MjVjNDI5NmIzOGMxZGY2NzEzMzYzNWU3NjkiLCJ1c2VySWQiOiI1NzMyNDAyODcifQ==</vt:lpwstr>
  </property>
</Properties>
</file>