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126BA" w14:textId="77777777" w:rsidR="00FD6984" w:rsidRDefault="00000000">
      <w:pPr>
        <w:rPr>
          <w:rFonts w:ascii="黑体" w:eastAsia="黑体" w:hAnsi="黑体"/>
          <w:sz w:val="32"/>
          <w:szCs w:val="28"/>
        </w:rPr>
      </w:pPr>
      <w:r>
        <w:rPr>
          <w:rFonts w:ascii="黑体" w:eastAsia="黑体" w:hAnsi="黑体" w:hint="eastAsia"/>
          <w:sz w:val="32"/>
          <w:szCs w:val="28"/>
        </w:rPr>
        <w:t>附件2：</w:t>
      </w:r>
    </w:p>
    <w:p w14:paraId="3A677713" w14:textId="77777777" w:rsidR="00FD6984" w:rsidRDefault="00FD6984">
      <w:pPr>
        <w:jc w:val="center"/>
        <w:rPr>
          <w:sz w:val="44"/>
          <w:szCs w:val="44"/>
        </w:rPr>
      </w:pPr>
    </w:p>
    <w:p w14:paraId="2E4FF503" w14:textId="77777777" w:rsidR="00FD6984" w:rsidRDefault="00FD6984">
      <w:pPr>
        <w:jc w:val="center"/>
        <w:rPr>
          <w:sz w:val="44"/>
          <w:szCs w:val="44"/>
        </w:rPr>
      </w:pPr>
    </w:p>
    <w:p w14:paraId="4C773726" w14:textId="77777777" w:rsidR="00FD6984" w:rsidRDefault="00000000">
      <w:pPr>
        <w:jc w:val="center"/>
        <w:rPr>
          <w:rFonts w:ascii="黑体" w:eastAsia="黑体" w:hAnsi="黑体"/>
          <w:sz w:val="36"/>
          <w:szCs w:val="36"/>
        </w:rPr>
      </w:pPr>
      <w:r>
        <w:rPr>
          <w:rFonts w:ascii="黑体" w:eastAsia="黑体" w:hAnsi="黑体" w:hint="eastAsia"/>
          <w:sz w:val="36"/>
          <w:szCs w:val="36"/>
        </w:rPr>
        <w:t>广东省地方标准制定</w:t>
      </w:r>
    </w:p>
    <w:p w14:paraId="148B9C73" w14:textId="77777777" w:rsidR="00FD6984" w:rsidRDefault="00FD6984">
      <w:pPr>
        <w:jc w:val="center"/>
        <w:rPr>
          <w:rFonts w:ascii="黑体" w:eastAsia="黑体" w:hAnsi="黑体"/>
          <w:sz w:val="44"/>
          <w:szCs w:val="44"/>
        </w:rPr>
      </w:pPr>
    </w:p>
    <w:p w14:paraId="4AFDB3FB" w14:textId="77777777" w:rsidR="00FD6984" w:rsidRDefault="00000000">
      <w:pPr>
        <w:spacing w:line="480" w:lineRule="auto"/>
        <w:jc w:val="center"/>
        <w:rPr>
          <w:rFonts w:eastAsia="黑体" w:cs="Times New Roman"/>
          <w:sz w:val="36"/>
          <w:szCs w:val="36"/>
        </w:rPr>
      </w:pPr>
      <w:r>
        <w:rPr>
          <w:rFonts w:eastAsia="黑体" w:cs="Times New Roman"/>
          <w:sz w:val="36"/>
          <w:szCs w:val="36"/>
        </w:rPr>
        <w:t>《高速公路运营期移动源碳排放核算标准》</w:t>
      </w:r>
    </w:p>
    <w:p w14:paraId="01EE739D" w14:textId="77777777" w:rsidR="00FD6984" w:rsidRDefault="00000000">
      <w:pPr>
        <w:spacing w:line="480" w:lineRule="auto"/>
        <w:jc w:val="center"/>
        <w:rPr>
          <w:rFonts w:eastAsia="黑体" w:cs="Times New Roman"/>
          <w:sz w:val="36"/>
          <w:szCs w:val="36"/>
        </w:rPr>
      </w:pPr>
      <w:r>
        <w:rPr>
          <w:rFonts w:eastAsia="黑体" w:cs="Times New Roman"/>
          <w:sz w:val="36"/>
          <w:szCs w:val="36"/>
        </w:rPr>
        <w:t>Accounting specification for carbon emission from mobile source in operation period for expressway</w:t>
      </w:r>
    </w:p>
    <w:p w14:paraId="33D5EFD4" w14:textId="77777777" w:rsidR="00FD6984" w:rsidRDefault="00000000">
      <w:pPr>
        <w:spacing w:line="480" w:lineRule="auto"/>
        <w:jc w:val="center"/>
        <w:rPr>
          <w:rFonts w:eastAsia="黑体" w:cs="Times New Roman"/>
          <w:sz w:val="36"/>
          <w:szCs w:val="36"/>
        </w:rPr>
      </w:pPr>
      <w:r>
        <w:rPr>
          <w:rFonts w:eastAsia="黑体" w:cs="Times New Roman"/>
          <w:sz w:val="36"/>
          <w:szCs w:val="36"/>
        </w:rPr>
        <w:t>（</w:t>
      </w:r>
      <w:r>
        <w:rPr>
          <w:rFonts w:eastAsia="黑体" w:cs="Times New Roman" w:hint="eastAsia"/>
          <w:sz w:val="36"/>
          <w:szCs w:val="36"/>
        </w:rPr>
        <w:t>送审</w:t>
      </w:r>
      <w:r>
        <w:rPr>
          <w:rFonts w:eastAsia="黑体" w:cs="Times New Roman"/>
          <w:sz w:val="36"/>
          <w:szCs w:val="36"/>
        </w:rPr>
        <w:t>稿）</w:t>
      </w:r>
    </w:p>
    <w:p w14:paraId="315E6EC9" w14:textId="77777777" w:rsidR="00FD6984" w:rsidRDefault="00FD6984">
      <w:pPr>
        <w:jc w:val="center"/>
        <w:rPr>
          <w:rFonts w:ascii="黑体" w:eastAsia="黑体" w:hAnsi="黑体"/>
          <w:sz w:val="40"/>
          <w:szCs w:val="40"/>
        </w:rPr>
      </w:pPr>
    </w:p>
    <w:p w14:paraId="0ECCEC8A" w14:textId="77777777" w:rsidR="00FD6984" w:rsidRDefault="00000000">
      <w:pPr>
        <w:jc w:val="center"/>
        <w:rPr>
          <w:rFonts w:ascii="黑体" w:eastAsia="黑体" w:hAnsi="黑体"/>
          <w:b/>
          <w:bCs/>
          <w:sz w:val="44"/>
          <w:szCs w:val="44"/>
        </w:rPr>
      </w:pPr>
      <w:r>
        <w:rPr>
          <w:rFonts w:ascii="黑体" w:eastAsia="黑体" w:hAnsi="黑体" w:hint="eastAsia"/>
          <w:b/>
          <w:bCs/>
          <w:sz w:val="44"/>
          <w:szCs w:val="44"/>
        </w:rPr>
        <w:t>编 制 说 明</w:t>
      </w:r>
    </w:p>
    <w:p w14:paraId="669B239A" w14:textId="77777777" w:rsidR="00FD6984" w:rsidRDefault="00FD6984">
      <w:pPr>
        <w:jc w:val="center"/>
        <w:rPr>
          <w:sz w:val="44"/>
          <w:szCs w:val="44"/>
        </w:rPr>
      </w:pPr>
    </w:p>
    <w:p w14:paraId="68B1B0FF" w14:textId="77777777" w:rsidR="00FD6984" w:rsidRDefault="00FD6984">
      <w:pPr>
        <w:jc w:val="center"/>
        <w:rPr>
          <w:sz w:val="44"/>
          <w:szCs w:val="44"/>
        </w:rPr>
      </w:pPr>
    </w:p>
    <w:p w14:paraId="03E00F9E" w14:textId="77777777" w:rsidR="00FD6984" w:rsidRDefault="00FD6984">
      <w:pPr>
        <w:jc w:val="center"/>
        <w:rPr>
          <w:sz w:val="44"/>
          <w:szCs w:val="44"/>
        </w:rPr>
      </w:pPr>
    </w:p>
    <w:p w14:paraId="45C3BFDE" w14:textId="77777777" w:rsidR="00FD6984" w:rsidRDefault="00FD6984">
      <w:pPr>
        <w:jc w:val="center"/>
        <w:rPr>
          <w:sz w:val="44"/>
          <w:szCs w:val="44"/>
        </w:rPr>
      </w:pPr>
    </w:p>
    <w:p w14:paraId="01A48C95" w14:textId="77777777" w:rsidR="00FD6984" w:rsidRDefault="00FD6984">
      <w:pPr>
        <w:jc w:val="center"/>
        <w:rPr>
          <w:sz w:val="44"/>
          <w:szCs w:val="44"/>
        </w:rPr>
      </w:pPr>
    </w:p>
    <w:p w14:paraId="20B1D6F2" w14:textId="77777777" w:rsidR="00FD6984" w:rsidRDefault="00FD6984">
      <w:pPr>
        <w:jc w:val="center"/>
        <w:rPr>
          <w:sz w:val="44"/>
          <w:szCs w:val="44"/>
        </w:rPr>
      </w:pPr>
    </w:p>
    <w:p w14:paraId="618FB8D6" w14:textId="77777777" w:rsidR="00FD6984" w:rsidRDefault="00FD6984">
      <w:pPr>
        <w:jc w:val="center"/>
        <w:rPr>
          <w:sz w:val="44"/>
          <w:szCs w:val="44"/>
        </w:rPr>
      </w:pPr>
    </w:p>
    <w:p w14:paraId="61B2D48D" w14:textId="77777777" w:rsidR="00FD6984" w:rsidRDefault="00FD6984">
      <w:pPr>
        <w:jc w:val="center"/>
        <w:rPr>
          <w:sz w:val="44"/>
          <w:szCs w:val="44"/>
        </w:rPr>
      </w:pPr>
    </w:p>
    <w:p w14:paraId="24910F79" w14:textId="77777777" w:rsidR="00FD6984" w:rsidRDefault="00000000">
      <w:pPr>
        <w:jc w:val="center"/>
        <w:rPr>
          <w:b/>
          <w:bCs/>
          <w:sz w:val="28"/>
          <w:szCs w:val="24"/>
        </w:rPr>
      </w:pPr>
      <w:r>
        <w:rPr>
          <w:rFonts w:hint="eastAsia"/>
          <w:b/>
          <w:bCs/>
          <w:sz w:val="28"/>
          <w:szCs w:val="24"/>
        </w:rPr>
        <w:t>标准编写工作组</w:t>
      </w:r>
    </w:p>
    <w:p w14:paraId="6391148E" w14:textId="77777777" w:rsidR="00FD6984" w:rsidRDefault="00000000">
      <w:pPr>
        <w:jc w:val="center"/>
        <w:rPr>
          <w:b/>
          <w:bCs/>
          <w:sz w:val="28"/>
          <w:szCs w:val="24"/>
        </w:rPr>
        <w:sectPr w:rsidR="00FD6984">
          <w:headerReference w:type="even" r:id="rId9"/>
          <w:headerReference w:type="default" r:id="rId10"/>
          <w:footerReference w:type="default" r:id="rId11"/>
          <w:pgSz w:w="11906" w:h="16838"/>
          <w:pgMar w:top="1440" w:right="1800" w:bottom="1440" w:left="1800" w:header="851" w:footer="992" w:gutter="0"/>
          <w:cols w:space="425"/>
          <w:docGrid w:type="lines" w:linePitch="312"/>
        </w:sectPr>
      </w:pPr>
      <w:r>
        <w:rPr>
          <w:rFonts w:hint="eastAsia"/>
          <w:b/>
          <w:bCs/>
          <w:sz w:val="28"/>
          <w:szCs w:val="24"/>
        </w:rPr>
        <w:t>202</w:t>
      </w:r>
      <w:r>
        <w:rPr>
          <w:b/>
          <w:bCs/>
          <w:sz w:val="28"/>
          <w:szCs w:val="24"/>
        </w:rPr>
        <w:t>4</w:t>
      </w:r>
      <w:r>
        <w:rPr>
          <w:rFonts w:hint="eastAsia"/>
          <w:b/>
          <w:bCs/>
          <w:sz w:val="28"/>
          <w:szCs w:val="24"/>
        </w:rPr>
        <w:t>年</w:t>
      </w:r>
      <w:r>
        <w:rPr>
          <w:rFonts w:hint="eastAsia"/>
          <w:b/>
          <w:bCs/>
          <w:sz w:val="28"/>
          <w:szCs w:val="24"/>
        </w:rPr>
        <w:t>6</w:t>
      </w:r>
      <w:r>
        <w:rPr>
          <w:rFonts w:hint="eastAsia"/>
          <w:b/>
          <w:bCs/>
          <w:sz w:val="28"/>
          <w:szCs w:val="24"/>
        </w:rPr>
        <w:t>月</w:t>
      </w:r>
    </w:p>
    <w:sdt>
      <w:sdtPr>
        <w:rPr>
          <w:rFonts w:eastAsia="宋体" w:cstheme="minorBidi"/>
          <w:b w:val="0"/>
          <w:bCs w:val="0"/>
          <w:sz w:val="24"/>
          <w:szCs w:val="22"/>
          <w:lang w:val="zh-CN"/>
        </w:rPr>
        <w:id w:val="-742712471"/>
        <w:docPartObj>
          <w:docPartGallery w:val="Table of Contents"/>
          <w:docPartUnique/>
        </w:docPartObj>
      </w:sdtPr>
      <w:sdtContent>
        <w:p w14:paraId="4FCE7FCD" w14:textId="77777777" w:rsidR="00FD6984" w:rsidRDefault="00000000">
          <w:pPr>
            <w:pStyle w:val="ac"/>
          </w:pPr>
          <w:r>
            <w:rPr>
              <w:lang w:val="zh-CN"/>
            </w:rPr>
            <w:t>目</w:t>
          </w:r>
          <w:r>
            <w:rPr>
              <w:rFonts w:hint="eastAsia"/>
              <w:lang w:val="zh-CN"/>
            </w:rPr>
            <w:t xml:space="preserve"> </w:t>
          </w:r>
          <w:r>
            <w:rPr>
              <w:lang w:val="zh-CN"/>
            </w:rPr>
            <w:t xml:space="preserve"> </w:t>
          </w:r>
          <w:r>
            <w:rPr>
              <w:lang w:val="zh-CN"/>
            </w:rPr>
            <w:t>录</w:t>
          </w:r>
        </w:p>
        <w:p w14:paraId="11123B8B" w14:textId="04A51AA3" w:rsidR="00CD3467" w:rsidRDefault="00000000">
          <w:pPr>
            <w:pStyle w:val="TOC1"/>
            <w:tabs>
              <w:tab w:val="right" w:leader="dot" w:pos="8296"/>
            </w:tabs>
            <w:rPr>
              <w:rFonts w:asciiTheme="minorHAnsi" w:eastAsiaTheme="minorEastAsia" w:hAnsiTheme="minorHAnsi"/>
              <w:noProof/>
              <w:sz w:val="22"/>
              <w:szCs w:val="24"/>
              <w14:ligatures w14:val="standardContextual"/>
            </w:rPr>
          </w:pPr>
          <w:r>
            <w:fldChar w:fldCharType="begin"/>
          </w:r>
          <w:r>
            <w:instrText xml:space="preserve"> TOC \o "1-3" \h \z \u </w:instrText>
          </w:r>
          <w:r>
            <w:fldChar w:fldCharType="separate"/>
          </w:r>
          <w:hyperlink w:anchor="_Toc169876037" w:history="1">
            <w:r w:rsidR="00CD3467" w:rsidRPr="00B115A9">
              <w:rPr>
                <w:rStyle w:val="af"/>
                <w:noProof/>
              </w:rPr>
              <w:t>一、</w:t>
            </w:r>
            <w:r w:rsidR="00CD3467" w:rsidRPr="00B115A9">
              <w:rPr>
                <w:rStyle w:val="af"/>
                <w:noProof/>
              </w:rPr>
              <w:t xml:space="preserve"> </w:t>
            </w:r>
            <w:r w:rsidR="00CD3467" w:rsidRPr="00B115A9">
              <w:rPr>
                <w:rStyle w:val="af"/>
                <w:noProof/>
              </w:rPr>
              <w:t>项目来源</w:t>
            </w:r>
            <w:r w:rsidR="00CD3467">
              <w:rPr>
                <w:noProof/>
                <w:webHidden/>
              </w:rPr>
              <w:tab/>
            </w:r>
            <w:r w:rsidR="00CD3467">
              <w:rPr>
                <w:noProof/>
                <w:webHidden/>
              </w:rPr>
              <w:fldChar w:fldCharType="begin"/>
            </w:r>
            <w:r w:rsidR="00CD3467">
              <w:rPr>
                <w:noProof/>
                <w:webHidden/>
              </w:rPr>
              <w:instrText xml:space="preserve"> PAGEREF _Toc169876037 \h </w:instrText>
            </w:r>
            <w:r w:rsidR="00CD3467">
              <w:rPr>
                <w:noProof/>
                <w:webHidden/>
              </w:rPr>
            </w:r>
            <w:r w:rsidR="00CD3467">
              <w:rPr>
                <w:noProof/>
                <w:webHidden/>
              </w:rPr>
              <w:fldChar w:fldCharType="separate"/>
            </w:r>
            <w:r w:rsidR="00056CF0">
              <w:rPr>
                <w:noProof/>
                <w:webHidden/>
              </w:rPr>
              <w:t>1</w:t>
            </w:r>
            <w:r w:rsidR="00CD3467">
              <w:rPr>
                <w:noProof/>
                <w:webHidden/>
              </w:rPr>
              <w:fldChar w:fldCharType="end"/>
            </w:r>
          </w:hyperlink>
        </w:p>
        <w:p w14:paraId="0382F21B" w14:textId="6962AB8A" w:rsidR="00CD3467" w:rsidRDefault="00CD3467">
          <w:pPr>
            <w:pStyle w:val="TOC1"/>
            <w:tabs>
              <w:tab w:val="right" w:leader="dot" w:pos="8296"/>
            </w:tabs>
            <w:rPr>
              <w:rFonts w:asciiTheme="minorHAnsi" w:eastAsiaTheme="minorEastAsia" w:hAnsiTheme="minorHAnsi"/>
              <w:noProof/>
              <w:sz w:val="22"/>
              <w:szCs w:val="24"/>
              <w14:ligatures w14:val="standardContextual"/>
            </w:rPr>
          </w:pPr>
          <w:hyperlink w:anchor="_Toc169876038" w:history="1">
            <w:r w:rsidRPr="00B115A9">
              <w:rPr>
                <w:rStyle w:val="af"/>
                <w:noProof/>
              </w:rPr>
              <w:t>二、</w:t>
            </w:r>
            <w:r w:rsidRPr="00B115A9">
              <w:rPr>
                <w:rStyle w:val="af"/>
                <w:noProof/>
              </w:rPr>
              <w:t xml:space="preserve"> </w:t>
            </w:r>
            <w:r w:rsidRPr="00B115A9">
              <w:rPr>
                <w:rStyle w:val="af"/>
                <w:noProof/>
              </w:rPr>
              <w:t>标准编制背景、目的及意义</w:t>
            </w:r>
            <w:r>
              <w:rPr>
                <w:noProof/>
                <w:webHidden/>
              </w:rPr>
              <w:tab/>
            </w:r>
            <w:r>
              <w:rPr>
                <w:noProof/>
                <w:webHidden/>
              </w:rPr>
              <w:fldChar w:fldCharType="begin"/>
            </w:r>
            <w:r>
              <w:rPr>
                <w:noProof/>
                <w:webHidden/>
              </w:rPr>
              <w:instrText xml:space="preserve"> PAGEREF _Toc169876038 \h </w:instrText>
            </w:r>
            <w:r>
              <w:rPr>
                <w:noProof/>
                <w:webHidden/>
              </w:rPr>
            </w:r>
            <w:r>
              <w:rPr>
                <w:noProof/>
                <w:webHidden/>
              </w:rPr>
              <w:fldChar w:fldCharType="separate"/>
            </w:r>
            <w:r w:rsidR="00056CF0">
              <w:rPr>
                <w:noProof/>
                <w:webHidden/>
              </w:rPr>
              <w:t>3</w:t>
            </w:r>
            <w:r>
              <w:rPr>
                <w:noProof/>
                <w:webHidden/>
              </w:rPr>
              <w:fldChar w:fldCharType="end"/>
            </w:r>
          </w:hyperlink>
        </w:p>
        <w:p w14:paraId="518EA889" w14:textId="2185320E" w:rsidR="00CD3467" w:rsidRDefault="00CD3467">
          <w:pPr>
            <w:pStyle w:val="TOC1"/>
            <w:tabs>
              <w:tab w:val="right" w:leader="dot" w:pos="8296"/>
            </w:tabs>
            <w:rPr>
              <w:rFonts w:asciiTheme="minorHAnsi" w:eastAsiaTheme="minorEastAsia" w:hAnsiTheme="minorHAnsi"/>
              <w:noProof/>
              <w:sz w:val="22"/>
              <w:szCs w:val="24"/>
              <w14:ligatures w14:val="standardContextual"/>
            </w:rPr>
          </w:pPr>
          <w:hyperlink w:anchor="_Toc169876039" w:history="1">
            <w:r w:rsidRPr="00B115A9">
              <w:rPr>
                <w:rStyle w:val="af"/>
                <w:noProof/>
              </w:rPr>
              <w:t>三、</w:t>
            </w:r>
            <w:r w:rsidRPr="00B115A9">
              <w:rPr>
                <w:rStyle w:val="af"/>
                <w:noProof/>
              </w:rPr>
              <w:t xml:space="preserve"> </w:t>
            </w:r>
            <w:r w:rsidRPr="00B115A9">
              <w:rPr>
                <w:rStyle w:val="af"/>
                <w:noProof/>
              </w:rPr>
              <w:t>关于标准应用场景的说明</w:t>
            </w:r>
            <w:r>
              <w:rPr>
                <w:noProof/>
                <w:webHidden/>
              </w:rPr>
              <w:tab/>
            </w:r>
            <w:r>
              <w:rPr>
                <w:noProof/>
                <w:webHidden/>
              </w:rPr>
              <w:fldChar w:fldCharType="begin"/>
            </w:r>
            <w:r>
              <w:rPr>
                <w:noProof/>
                <w:webHidden/>
              </w:rPr>
              <w:instrText xml:space="preserve"> PAGEREF _Toc169876039 \h </w:instrText>
            </w:r>
            <w:r>
              <w:rPr>
                <w:noProof/>
                <w:webHidden/>
              </w:rPr>
            </w:r>
            <w:r>
              <w:rPr>
                <w:noProof/>
                <w:webHidden/>
              </w:rPr>
              <w:fldChar w:fldCharType="separate"/>
            </w:r>
            <w:r w:rsidR="00056CF0">
              <w:rPr>
                <w:noProof/>
                <w:webHidden/>
              </w:rPr>
              <w:t>5</w:t>
            </w:r>
            <w:r>
              <w:rPr>
                <w:noProof/>
                <w:webHidden/>
              </w:rPr>
              <w:fldChar w:fldCharType="end"/>
            </w:r>
          </w:hyperlink>
        </w:p>
        <w:p w14:paraId="68E4687C" w14:textId="19BB67CB" w:rsidR="00CD3467" w:rsidRDefault="00CD3467">
          <w:pPr>
            <w:pStyle w:val="TOC2"/>
            <w:tabs>
              <w:tab w:val="right" w:leader="dot" w:pos="8296"/>
            </w:tabs>
            <w:rPr>
              <w:rFonts w:asciiTheme="minorHAnsi" w:eastAsiaTheme="minorEastAsia" w:hAnsiTheme="minorHAnsi"/>
              <w:noProof/>
              <w:sz w:val="22"/>
              <w:szCs w:val="24"/>
              <w14:ligatures w14:val="standardContextual"/>
            </w:rPr>
          </w:pPr>
          <w:hyperlink w:anchor="_Toc169876040" w:history="1">
            <w:r w:rsidRPr="00B115A9">
              <w:rPr>
                <w:rStyle w:val="af"/>
                <w:noProof/>
              </w:rPr>
              <w:t xml:space="preserve">1. </w:t>
            </w:r>
            <w:r w:rsidRPr="00B115A9">
              <w:rPr>
                <w:rStyle w:val="af"/>
                <w:noProof/>
              </w:rPr>
              <w:t>碳排放核算对象</w:t>
            </w:r>
            <w:r>
              <w:rPr>
                <w:noProof/>
                <w:webHidden/>
              </w:rPr>
              <w:tab/>
            </w:r>
            <w:r>
              <w:rPr>
                <w:noProof/>
                <w:webHidden/>
              </w:rPr>
              <w:fldChar w:fldCharType="begin"/>
            </w:r>
            <w:r>
              <w:rPr>
                <w:noProof/>
                <w:webHidden/>
              </w:rPr>
              <w:instrText xml:space="preserve"> PAGEREF _Toc169876040 \h </w:instrText>
            </w:r>
            <w:r>
              <w:rPr>
                <w:noProof/>
                <w:webHidden/>
              </w:rPr>
            </w:r>
            <w:r>
              <w:rPr>
                <w:noProof/>
                <w:webHidden/>
              </w:rPr>
              <w:fldChar w:fldCharType="separate"/>
            </w:r>
            <w:r w:rsidR="00056CF0">
              <w:rPr>
                <w:noProof/>
                <w:webHidden/>
              </w:rPr>
              <w:t>5</w:t>
            </w:r>
            <w:r>
              <w:rPr>
                <w:noProof/>
                <w:webHidden/>
              </w:rPr>
              <w:fldChar w:fldCharType="end"/>
            </w:r>
          </w:hyperlink>
        </w:p>
        <w:p w14:paraId="1D893949" w14:textId="4BCFD89E" w:rsidR="00CD3467" w:rsidRDefault="00CD3467">
          <w:pPr>
            <w:pStyle w:val="TOC2"/>
            <w:tabs>
              <w:tab w:val="right" w:leader="dot" w:pos="8296"/>
            </w:tabs>
            <w:rPr>
              <w:rFonts w:asciiTheme="minorHAnsi" w:eastAsiaTheme="minorEastAsia" w:hAnsiTheme="minorHAnsi"/>
              <w:noProof/>
              <w:sz w:val="22"/>
              <w:szCs w:val="24"/>
              <w14:ligatures w14:val="standardContextual"/>
            </w:rPr>
          </w:pPr>
          <w:hyperlink w:anchor="_Toc169876041" w:history="1">
            <w:r w:rsidRPr="00B115A9">
              <w:rPr>
                <w:rStyle w:val="af"/>
                <w:noProof/>
              </w:rPr>
              <w:t xml:space="preserve">2. </w:t>
            </w:r>
            <w:r w:rsidRPr="00B115A9">
              <w:rPr>
                <w:rStyle w:val="af"/>
                <w:noProof/>
              </w:rPr>
              <w:t>碳排放管控方向</w:t>
            </w:r>
            <w:r>
              <w:rPr>
                <w:noProof/>
                <w:webHidden/>
              </w:rPr>
              <w:tab/>
            </w:r>
            <w:r>
              <w:rPr>
                <w:noProof/>
                <w:webHidden/>
              </w:rPr>
              <w:fldChar w:fldCharType="begin"/>
            </w:r>
            <w:r>
              <w:rPr>
                <w:noProof/>
                <w:webHidden/>
              </w:rPr>
              <w:instrText xml:space="preserve"> PAGEREF _Toc169876041 \h </w:instrText>
            </w:r>
            <w:r>
              <w:rPr>
                <w:noProof/>
                <w:webHidden/>
              </w:rPr>
            </w:r>
            <w:r>
              <w:rPr>
                <w:noProof/>
                <w:webHidden/>
              </w:rPr>
              <w:fldChar w:fldCharType="separate"/>
            </w:r>
            <w:r w:rsidR="00056CF0">
              <w:rPr>
                <w:noProof/>
                <w:webHidden/>
              </w:rPr>
              <w:t>6</w:t>
            </w:r>
            <w:r>
              <w:rPr>
                <w:noProof/>
                <w:webHidden/>
              </w:rPr>
              <w:fldChar w:fldCharType="end"/>
            </w:r>
          </w:hyperlink>
        </w:p>
        <w:p w14:paraId="34677000" w14:textId="01DFF1ED" w:rsidR="00CD3467" w:rsidRDefault="00CD3467">
          <w:pPr>
            <w:pStyle w:val="TOC2"/>
            <w:tabs>
              <w:tab w:val="right" w:leader="dot" w:pos="8296"/>
            </w:tabs>
            <w:rPr>
              <w:rFonts w:asciiTheme="minorHAnsi" w:eastAsiaTheme="minorEastAsia" w:hAnsiTheme="minorHAnsi"/>
              <w:noProof/>
              <w:sz w:val="22"/>
              <w:szCs w:val="24"/>
              <w14:ligatures w14:val="standardContextual"/>
            </w:rPr>
          </w:pPr>
          <w:hyperlink w:anchor="_Toc169876042" w:history="1">
            <w:r w:rsidRPr="00B115A9">
              <w:rPr>
                <w:rStyle w:val="af"/>
                <w:noProof/>
              </w:rPr>
              <w:t xml:space="preserve">3. </w:t>
            </w:r>
            <w:r w:rsidRPr="00B115A9">
              <w:rPr>
                <w:rStyle w:val="af"/>
                <w:noProof/>
              </w:rPr>
              <w:t>主要使用场景</w:t>
            </w:r>
            <w:r>
              <w:rPr>
                <w:noProof/>
                <w:webHidden/>
              </w:rPr>
              <w:tab/>
            </w:r>
            <w:r>
              <w:rPr>
                <w:noProof/>
                <w:webHidden/>
              </w:rPr>
              <w:fldChar w:fldCharType="begin"/>
            </w:r>
            <w:r>
              <w:rPr>
                <w:noProof/>
                <w:webHidden/>
              </w:rPr>
              <w:instrText xml:space="preserve"> PAGEREF _Toc169876042 \h </w:instrText>
            </w:r>
            <w:r>
              <w:rPr>
                <w:noProof/>
                <w:webHidden/>
              </w:rPr>
            </w:r>
            <w:r>
              <w:rPr>
                <w:noProof/>
                <w:webHidden/>
              </w:rPr>
              <w:fldChar w:fldCharType="separate"/>
            </w:r>
            <w:r w:rsidR="00056CF0">
              <w:rPr>
                <w:noProof/>
                <w:webHidden/>
              </w:rPr>
              <w:t>7</w:t>
            </w:r>
            <w:r>
              <w:rPr>
                <w:noProof/>
                <w:webHidden/>
              </w:rPr>
              <w:fldChar w:fldCharType="end"/>
            </w:r>
          </w:hyperlink>
        </w:p>
        <w:p w14:paraId="7F40789A" w14:textId="3F951875" w:rsidR="00CD3467" w:rsidRDefault="00CD3467">
          <w:pPr>
            <w:pStyle w:val="TOC1"/>
            <w:tabs>
              <w:tab w:val="right" w:leader="dot" w:pos="8296"/>
            </w:tabs>
            <w:rPr>
              <w:rFonts w:asciiTheme="minorHAnsi" w:eastAsiaTheme="minorEastAsia" w:hAnsiTheme="minorHAnsi"/>
              <w:noProof/>
              <w:sz w:val="22"/>
              <w:szCs w:val="24"/>
              <w14:ligatures w14:val="standardContextual"/>
            </w:rPr>
          </w:pPr>
          <w:hyperlink w:anchor="_Toc169876043" w:history="1">
            <w:r w:rsidRPr="00B115A9">
              <w:rPr>
                <w:rStyle w:val="af"/>
                <w:noProof/>
              </w:rPr>
              <w:t>四、</w:t>
            </w:r>
            <w:r w:rsidRPr="00B115A9">
              <w:rPr>
                <w:rStyle w:val="af"/>
                <w:noProof/>
              </w:rPr>
              <w:t xml:space="preserve"> </w:t>
            </w:r>
            <w:r w:rsidRPr="00B115A9">
              <w:rPr>
                <w:rStyle w:val="af"/>
                <w:noProof/>
              </w:rPr>
              <w:t>相关法律、法规和标准情况</w:t>
            </w:r>
            <w:r>
              <w:rPr>
                <w:noProof/>
                <w:webHidden/>
              </w:rPr>
              <w:tab/>
            </w:r>
            <w:r>
              <w:rPr>
                <w:noProof/>
                <w:webHidden/>
              </w:rPr>
              <w:fldChar w:fldCharType="begin"/>
            </w:r>
            <w:r>
              <w:rPr>
                <w:noProof/>
                <w:webHidden/>
              </w:rPr>
              <w:instrText xml:space="preserve"> PAGEREF _Toc169876043 \h </w:instrText>
            </w:r>
            <w:r>
              <w:rPr>
                <w:noProof/>
                <w:webHidden/>
              </w:rPr>
            </w:r>
            <w:r>
              <w:rPr>
                <w:noProof/>
                <w:webHidden/>
              </w:rPr>
              <w:fldChar w:fldCharType="separate"/>
            </w:r>
            <w:r w:rsidR="00056CF0">
              <w:rPr>
                <w:noProof/>
                <w:webHidden/>
              </w:rPr>
              <w:t>8</w:t>
            </w:r>
            <w:r>
              <w:rPr>
                <w:noProof/>
                <w:webHidden/>
              </w:rPr>
              <w:fldChar w:fldCharType="end"/>
            </w:r>
          </w:hyperlink>
        </w:p>
        <w:p w14:paraId="675FAC85" w14:textId="5EB374E9" w:rsidR="00CD3467" w:rsidRDefault="00CD3467">
          <w:pPr>
            <w:pStyle w:val="TOC1"/>
            <w:tabs>
              <w:tab w:val="right" w:leader="dot" w:pos="8296"/>
            </w:tabs>
            <w:rPr>
              <w:rFonts w:asciiTheme="minorHAnsi" w:eastAsiaTheme="minorEastAsia" w:hAnsiTheme="minorHAnsi"/>
              <w:noProof/>
              <w:sz w:val="22"/>
              <w:szCs w:val="24"/>
              <w14:ligatures w14:val="standardContextual"/>
            </w:rPr>
          </w:pPr>
          <w:hyperlink w:anchor="_Toc169876044" w:history="1">
            <w:r w:rsidRPr="00B115A9">
              <w:rPr>
                <w:rStyle w:val="af"/>
                <w:noProof/>
              </w:rPr>
              <w:t>五、</w:t>
            </w:r>
            <w:r w:rsidRPr="00B115A9">
              <w:rPr>
                <w:rStyle w:val="af"/>
                <w:noProof/>
              </w:rPr>
              <w:t xml:space="preserve"> </w:t>
            </w:r>
            <w:r w:rsidRPr="00B115A9">
              <w:rPr>
                <w:rStyle w:val="af"/>
                <w:noProof/>
              </w:rPr>
              <w:t>标准制定的基础条件</w:t>
            </w:r>
            <w:r>
              <w:rPr>
                <w:noProof/>
                <w:webHidden/>
              </w:rPr>
              <w:tab/>
            </w:r>
            <w:r>
              <w:rPr>
                <w:noProof/>
                <w:webHidden/>
              </w:rPr>
              <w:fldChar w:fldCharType="begin"/>
            </w:r>
            <w:r>
              <w:rPr>
                <w:noProof/>
                <w:webHidden/>
              </w:rPr>
              <w:instrText xml:space="preserve"> PAGEREF _Toc169876044 \h </w:instrText>
            </w:r>
            <w:r>
              <w:rPr>
                <w:noProof/>
                <w:webHidden/>
              </w:rPr>
            </w:r>
            <w:r>
              <w:rPr>
                <w:noProof/>
                <w:webHidden/>
              </w:rPr>
              <w:fldChar w:fldCharType="separate"/>
            </w:r>
            <w:r w:rsidR="00056CF0">
              <w:rPr>
                <w:noProof/>
                <w:webHidden/>
              </w:rPr>
              <w:t>11</w:t>
            </w:r>
            <w:r>
              <w:rPr>
                <w:noProof/>
                <w:webHidden/>
              </w:rPr>
              <w:fldChar w:fldCharType="end"/>
            </w:r>
          </w:hyperlink>
        </w:p>
        <w:p w14:paraId="5C6A5ED4" w14:textId="7A0121D7" w:rsidR="00CD3467" w:rsidRDefault="00CD3467">
          <w:pPr>
            <w:pStyle w:val="TOC2"/>
            <w:tabs>
              <w:tab w:val="right" w:leader="dot" w:pos="8296"/>
            </w:tabs>
            <w:rPr>
              <w:rFonts w:asciiTheme="minorHAnsi" w:eastAsiaTheme="minorEastAsia" w:hAnsiTheme="minorHAnsi"/>
              <w:noProof/>
              <w:sz w:val="22"/>
              <w:szCs w:val="24"/>
              <w14:ligatures w14:val="standardContextual"/>
            </w:rPr>
          </w:pPr>
          <w:hyperlink w:anchor="_Toc169876045" w:history="1">
            <w:r w:rsidRPr="00B115A9">
              <w:rPr>
                <w:rStyle w:val="af"/>
                <w:noProof/>
              </w:rPr>
              <w:t xml:space="preserve">1. </w:t>
            </w:r>
            <w:r w:rsidRPr="00B115A9">
              <w:rPr>
                <w:rStyle w:val="af"/>
                <w:noProof/>
              </w:rPr>
              <w:t>数据基础</w:t>
            </w:r>
            <w:r>
              <w:rPr>
                <w:noProof/>
                <w:webHidden/>
              </w:rPr>
              <w:tab/>
            </w:r>
            <w:r>
              <w:rPr>
                <w:noProof/>
                <w:webHidden/>
              </w:rPr>
              <w:fldChar w:fldCharType="begin"/>
            </w:r>
            <w:r>
              <w:rPr>
                <w:noProof/>
                <w:webHidden/>
              </w:rPr>
              <w:instrText xml:space="preserve"> PAGEREF _Toc169876045 \h </w:instrText>
            </w:r>
            <w:r>
              <w:rPr>
                <w:noProof/>
                <w:webHidden/>
              </w:rPr>
            </w:r>
            <w:r>
              <w:rPr>
                <w:noProof/>
                <w:webHidden/>
              </w:rPr>
              <w:fldChar w:fldCharType="separate"/>
            </w:r>
            <w:r w:rsidR="00056CF0">
              <w:rPr>
                <w:noProof/>
                <w:webHidden/>
              </w:rPr>
              <w:t>11</w:t>
            </w:r>
            <w:r>
              <w:rPr>
                <w:noProof/>
                <w:webHidden/>
              </w:rPr>
              <w:fldChar w:fldCharType="end"/>
            </w:r>
          </w:hyperlink>
        </w:p>
        <w:p w14:paraId="77C4D629" w14:textId="6E6F5C61" w:rsidR="00CD3467" w:rsidRDefault="00CD3467">
          <w:pPr>
            <w:pStyle w:val="TOC2"/>
            <w:tabs>
              <w:tab w:val="right" w:leader="dot" w:pos="8296"/>
            </w:tabs>
            <w:rPr>
              <w:rFonts w:asciiTheme="minorHAnsi" w:eastAsiaTheme="minorEastAsia" w:hAnsiTheme="minorHAnsi"/>
              <w:noProof/>
              <w:sz w:val="22"/>
              <w:szCs w:val="24"/>
              <w14:ligatures w14:val="standardContextual"/>
            </w:rPr>
          </w:pPr>
          <w:hyperlink w:anchor="_Toc169876046" w:history="1">
            <w:r w:rsidRPr="00B115A9">
              <w:rPr>
                <w:rStyle w:val="af"/>
                <w:noProof/>
              </w:rPr>
              <w:t xml:space="preserve">2. </w:t>
            </w:r>
            <w:r w:rsidRPr="00B115A9">
              <w:rPr>
                <w:rStyle w:val="af"/>
                <w:noProof/>
              </w:rPr>
              <w:t>方法基础</w:t>
            </w:r>
            <w:r>
              <w:rPr>
                <w:noProof/>
                <w:webHidden/>
              </w:rPr>
              <w:tab/>
            </w:r>
            <w:r>
              <w:rPr>
                <w:noProof/>
                <w:webHidden/>
              </w:rPr>
              <w:fldChar w:fldCharType="begin"/>
            </w:r>
            <w:r>
              <w:rPr>
                <w:noProof/>
                <w:webHidden/>
              </w:rPr>
              <w:instrText xml:space="preserve"> PAGEREF _Toc169876046 \h </w:instrText>
            </w:r>
            <w:r>
              <w:rPr>
                <w:noProof/>
                <w:webHidden/>
              </w:rPr>
            </w:r>
            <w:r>
              <w:rPr>
                <w:noProof/>
                <w:webHidden/>
              </w:rPr>
              <w:fldChar w:fldCharType="separate"/>
            </w:r>
            <w:r w:rsidR="00056CF0">
              <w:rPr>
                <w:noProof/>
                <w:webHidden/>
              </w:rPr>
              <w:t>13</w:t>
            </w:r>
            <w:r>
              <w:rPr>
                <w:noProof/>
                <w:webHidden/>
              </w:rPr>
              <w:fldChar w:fldCharType="end"/>
            </w:r>
          </w:hyperlink>
        </w:p>
        <w:p w14:paraId="5558D95B" w14:textId="198AF07D" w:rsidR="00CD3467" w:rsidRDefault="00CD3467">
          <w:pPr>
            <w:pStyle w:val="TOC1"/>
            <w:tabs>
              <w:tab w:val="right" w:leader="dot" w:pos="8296"/>
            </w:tabs>
            <w:rPr>
              <w:rFonts w:asciiTheme="minorHAnsi" w:eastAsiaTheme="minorEastAsia" w:hAnsiTheme="minorHAnsi"/>
              <w:noProof/>
              <w:sz w:val="22"/>
              <w:szCs w:val="24"/>
              <w14:ligatures w14:val="standardContextual"/>
            </w:rPr>
          </w:pPr>
          <w:hyperlink w:anchor="_Toc169876047" w:history="1">
            <w:r w:rsidRPr="00B115A9">
              <w:rPr>
                <w:rStyle w:val="af"/>
                <w:noProof/>
              </w:rPr>
              <w:t>六、</w:t>
            </w:r>
            <w:r w:rsidRPr="00B115A9">
              <w:rPr>
                <w:rStyle w:val="af"/>
                <w:noProof/>
              </w:rPr>
              <w:t xml:space="preserve"> </w:t>
            </w:r>
            <w:r w:rsidRPr="00B115A9">
              <w:rPr>
                <w:rStyle w:val="af"/>
                <w:noProof/>
              </w:rPr>
              <w:t>预期效益</w:t>
            </w:r>
            <w:r>
              <w:rPr>
                <w:noProof/>
                <w:webHidden/>
              </w:rPr>
              <w:tab/>
            </w:r>
            <w:r>
              <w:rPr>
                <w:noProof/>
                <w:webHidden/>
              </w:rPr>
              <w:fldChar w:fldCharType="begin"/>
            </w:r>
            <w:r>
              <w:rPr>
                <w:noProof/>
                <w:webHidden/>
              </w:rPr>
              <w:instrText xml:space="preserve"> PAGEREF _Toc169876047 \h </w:instrText>
            </w:r>
            <w:r>
              <w:rPr>
                <w:noProof/>
                <w:webHidden/>
              </w:rPr>
            </w:r>
            <w:r>
              <w:rPr>
                <w:noProof/>
                <w:webHidden/>
              </w:rPr>
              <w:fldChar w:fldCharType="separate"/>
            </w:r>
            <w:r w:rsidR="00056CF0">
              <w:rPr>
                <w:noProof/>
                <w:webHidden/>
              </w:rPr>
              <w:t>16</w:t>
            </w:r>
            <w:r>
              <w:rPr>
                <w:noProof/>
                <w:webHidden/>
              </w:rPr>
              <w:fldChar w:fldCharType="end"/>
            </w:r>
          </w:hyperlink>
        </w:p>
        <w:p w14:paraId="4C9758A4" w14:textId="5405BBAD" w:rsidR="00CD3467" w:rsidRDefault="00CD3467">
          <w:pPr>
            <w:pStyle w:val="TOC1"/>
            <w:tabs>
              <w:tab w:val="right" w:leader="dot" w:pos="8296"/>
            </w:tabs>
            <w:rPr>
              <w:rFonts w:asciiTheme="minorHAnsi" w:eastAsiaTheme="minorEastAsia" w:hAnsiTheme="minorHAnsi"/>
              <w:noProof/>
              <w:sz w:val="22"/>
              <w:szCs w:val="24"/>
              <w14:ligatures w14:val="standardContextual"/>
            </w:rPr>
          </w:pPr>
          <w:hyperlink w:anchor="_Toc169876048" w:history="1">
            <w:r w:rsidRPr="00B115A9">
              <w:rPr>
                <w:rStyle w:val="af"/>
                <w:noProof/>
              </w:rPr>
              <w:t>七、</w:t>
            </w:r>
            <w:r w:rsidRPr="00B115A9">
              <w:rPr>
                <w:rStyle w:val="af"/>
                <w:noProof/>
              </w:rPr>
              <w:t xml:space="preserve"> </w:t>
            </w:r>
            <w:r w:rsidRPr="00B115A9">
              <w:rPr>
                <w:rStyle w:val="af"/>
                <w:noProof/>
              </w:rPr>
              <w:t>编制原则</w:t>
            </w:r>
            <w:r>
              <w:rPr>
                <w:noProof/>
                <w:webHidden/>
              </w:rPr>
              <w:tab/>
            </w:r>
            <w:r>
              <w:rPr>
                <w:noProof/>
                <w:webHidden/>
              </w:rPr>
              <w:fldChar w:fldCharType="begin"/>
            </w:r>
            <w:r>
              <w:rPr>
                <w:noProof/>
                <w:webHidden/>
              </w:rPr>
              <w:instrText xml:space="preserve"> PAGEREF _Toc169876048 \h </w:instrText>
            </w:r>
            <w:r>
              <w:rPr>
                <w:noProof/>
                <w:webHidden/>
              </w:rPr>
            </w:r>
            <w:r>
              <w:rPr>
                <w:noProof/>
                <w:webHidden/>
              </w:rPr>
              <w:fldChar w:fldCharType="separate"/>
            </w:r>
            <w:r w:rsidR="00056CF0">
              <w:rPr>
                <w:noProof/>
                <w:webHidden/>
              </w:rPr>
              <w:t>16</w:t>
            </w:r>
            <w:r>
              <w:rPr>
                <w:noProof/>
                <w:webHidden/>
              </w:rPr>
              <w:fldChar w:fldCharType="end"/>
            </w:r>
          </w:hyperlink>
        </w:p>
        <w:p w14:paraId="65306A96" w14:textId="725567EE" w:rsidR="00CD3467" w:rsidRDefault="00CD3467">
          <w:pPr>
            <w:pStyle w:val="TOC2"/>
            <w:tabs>
              <w:tab w:val="right" w:leader="dot" w:pos="8296"/>
            </w:tabs>
            <w:rPr>
              <w:rFonts w:asciiTheme="minorHAnsi" w:eastAsiaTheme="minorEastAsia" w:hAnsiTheme="minorHAnsi"/>
              <w:noProof/>
              <w:sz w:val="22"/>
              <w:szCs w:val="24"/>
              <w14:ligatures w14:val="standardContextual"/>
            </w:rPr>
          </w:pPr>
          <w:hyperlink w:anchor="_Toc169876049" w:history="1">
            <w:r w:rsidRPr="00B115A9">
              <w:rPr>
                <w:rStyle w:val="af"/>
                <w:noProof/>
              </w:rPr>
              <w:t xml:space="preserve">1. </w:t>
            </w:r>
            <w:r w:rsidRPr="00B115A9">
              <w:rPr>
                <w:rStyle w:val="af"/>
                <w:noProof/>
              </w:rPr>
              <w:t>规范性原则</w:t>
            </w:r>
            <w:r>
              <w:rPr>
                <w:noProof/>
                <w:webHidden/>
              </w:rPr>
              <w:tab/>
            </w:r>
            <w:r>
              <w:rPr>
                <w:noProof/>
                <w:webHidden/>
              </w:rPr>
              <w:fldChar w:fldCharType="begin"/>
            </w:r>
            <w:r>
              <w:rPr>
                <w:noProof/>
                <w:webHidden/>
              </w:rPr>
              <w:instrText xml:space="preserve"> PAGEREF _Toc169876049 \h </w:instrText>
            </w:r>
            <w:r>
              <w:rPr>
                <w:noProof/>
                <w:webHidden/>
              </w:rPr>
            </w:r>
            <w:r>
              <w:rPr>
                <w:noProof/>
                <w:webHidden/>
              </w:rPr>
              <w:fldChar w:fldCharType="separate"/>
            </w:r>
            <w:r w:rsidR="00056CF0">
              <w:rPr>
                <w:noProof/>
                <w:webHidden/>
              </w:rPr>
              <w:t>16</w:t>
            </w:r>
            <w:r>
              <w:rPr>
                <w:noProof/>
                <w:webHidden/>
              </w:rPr>
              <w:fldChar w:fldCharType="end"/>
            </w:r>
          </w:hyperlink>
        </w:p>
        <w:p w14:paraId="0D75E29F" w14:textId="5C7A16EC" w:rsidR="00CD3467" w:rsidRDefault="00CD3467">
          <w:pPr>
            <w:pStyle w:val="TOC2"/>
            <w:tabs>
              <w:tab w:val="right" w:leader="dot" w:pos="8296"/>
            </w:tabs>
            <w:rPr>
              <w:rFonts w:asciiTheme="minorHAnsi" w:eastAsiaTheme="minorEastAsia" w:hAnsiTheme="minorHAnsi"/>
              <w:noProof/>
              <w:sz w:val="22"/>
              <w:szCs w:val="24"/>
              <w14:ligatures w14:val="standardContextual"/>
            </w:rPr>
          </w:pPr>
          <w:hyperlink w:anchor="_Toc169876050" w:history="1">
            <w:r w:rsidRPr="00B115A9">
              <w:rPr>
                <w:rStyle w:val="af"/>
                <w:noProof/>
              </w:rPr>
              <w:t xml:space="preserve">2. </w:t>
            </w:r>
            <w:r w:rsidRPr="00B115A9">
              <w:rPr>
                <w:rStyle w:val="af"/>
                <w:noProof/>
              </w:rPr>
              <w:t>协调性原则</w:t>
            </w:r>
            <w:r>
              <w:rPr>
                <w:noProof/>
                <w:webHidden/>
              </w:rPr>
              <w:tab/>
            </w:r>
            <w:r>
              <w:rPr>
                <w:noProof/>
                <w:webHidden/>
              </w:rPr>
              <w:fldChar w:fldCharType="begin"/>
            </w:r>
            <w:r>
              <w:rPr>
                <w:noProof/>
                <w:webHidden/>
              </w:rPr>
              <w:instrText xml:space="preserve"> PAGEREF _Toc169876050 \h </w:instrText>
            </w:r>
            <w:r>
              <w:rPr>
                <w:noProof/>
                <w:webHidden/>
              </w:rPr>
            </w:r>
            <w:r>
              <w:rPr>
                <w:noProof/>
                <w:webHidden/>
              </w:rPr>
              <w:fldChar w:fldCharType="separate"/>
            </w:r>
            <w:r w:rsidR="00056CF0">
              <w:rPr>
                <w:noProof/>
                <w:webHidden/>
              </w:rPr>
              <w:t>16</w:t>
            </w:r>
            <w:r>
              <w:rPr>
                <w:noProof/>
                <w:webHidden/>
              </w:rPr>
              <w:fldChar w:fldCharType="end"/>
            </w:r>
          </w:hyperlink>
        </w:p>
        <w:p w14:paraId="7E83B756" w14:textId="4E3D1F4E" w:rsidR="00CD3467" w:rsidRDefault="00CD3467">
          <w:pPr>
            <w:pStyle w:val="TOC2"/>
            <w:tabs>
              <w:tab w:val="right" w:leader="dot" w:pos="8296"/>
            </w:tabs>
            <w:rPr>
              <w:rFonts w:asciiTheme="minorHAnsi" w:eastAsiaTheme="minorEastAsia" w:hAnsiTheme="minorHAnsi"/>
              <w:noProof/>
              <w:sz w:val="22"/>
              <w:szCs w:val="24"/>
              <w14:ligatures w14:val="standardContextual"/>
            </w:rPr>
          </w:pPr>
          <w:hyperlink w:anchor="_Toc169876051" w:history="1">
            <w:r w:rsidRPr="00B115A9">
              <w:rPr>
                <w:rStyle w:val="af"/>
                <w:noProof/>
              </w:rPr>
              <w:t xml:space="preserve">3. </w:t>
            </w:r>
            <w:r w:rsidRPr="00B115A9">
              <w:rPr>
                <w:rStyle w:val="af"/>
                <w:noProof/>
              </w:rPr>
              <w:t>突出行业特性原则</w:t>
            </w:r>
            <w:r>
              <w:rPr>
                <w:noProof/>
                <w:webHidden/>
              </w:rPr>
              <w:tab/>
            </w:r>
            <w:r>
              <w:rPr>
                <w:noProof/>
                <w:webHidden/>
              </w:rPr>
              <w:fldChar w:fldCharType="begin"/>
            </w:r>
            <w:r>
              <w:rPr>
                <w:noProof/>
                <w:webHidden/>
              </w:rPr>
              <w:instrText xml:space="preserve"> PAGEREF _Toc169876051 \h </w:instrText>
            </w:r>
            <w:r>
              <w:rPr>
                <w:noProof/>
                <w:webHidden/>
              </w:rPr>
            </w:r>
            <w:r>
              <w:rPr>
                <w:noProof/>
                <w:webHidden/>
              </w:rPr>
              <w:fldChar w:fldCharType="separate"/>
            </w:r>
            <w:r w:rsidR="00056CF0">
              <w:rPr>
                <w:noProof/>
                <w:webHidden/>
              </w:rPr>
              <w:t>17</w:t>
            </w:r>
            <w:r>
              <w:rPr>
                <w:noProof/>
                <w:webHidden/>
              </w:rPr>
              <w:fldChar w:fldCharType="end"/>
            </w:r>
          </w:hyperlink>
        </w:p>
        <w:p w14:paraId="1E1D6CAF" w14:textId="44ECF972" w:rsidR="00CD3467" w:rsidRDefault="00CD3467">
          <w:pPr>
            <w:pStyle w:val="TOC2"/>
            <w:tabs>
              <w:tab w:val="right" w:leader="dot" w:pos="8296"/>
            </w:tabs>
            <w:rPr>
              <w:rFonts w:asciiTheme="minorHAnsi" w:eastAsiaTheme="minorEastAsia" w:hAnsiTheme="minorHAnsi"/>
              <w:noProof/>
              <w:sz w:val="22"/>
              <w:szCs w:val="24"/>
              <w14:ligatures w14:val="standardContextual"/>
            </w:rPr>
          </w:pPr>
          <w:hyperlink w:anchor="_Toc169876052" w:history="1">
            <w:r w:rsidRPr="00B115A9">
              <w:rPr>
                <w:rStyle w:val="af"/>
                <w:noProof/>
              </w:rPr>
              <w:t xml:space="preserve">4. </w:t>
            </w:r>
            <w:r w:rsidRPr="00B115A9">
              <w:rPr>
                <w:rStyle w:val="af"/>
                <w:noProof/>
              </w:rPr>
              <w:t>适用性和可行性原则</w:t>
            </w:r>
            <w:r>
              <w:rPr>
                <w:noProof/>
                <w:webHidden/>
              </w:rPr>
              <w:tab/>
            </w:r>
            <w:r>
              <w:rPr>
                <w:noProof/>
                <w:webHidden/>
              </w:rPr>
              <w:fldChar w:fldCharType="begin"/>
            </w:r>
            <w:r>
              <w:rPr>
                <w:noProof/>
                <w:webHidden/>
              </w:rPr>
              <w:instrText xml:space="preserve"> PAGEREF _Toc169876052 \h </w:instrText>
            </w:r>
            <w:r>
              <w:rPr>
                <w:noProof/>
                <w:webHidden/>
              </w:rPr>
            </w:r>
            <w:r>
              <w:rPr>
                <w:noProof/>
                <w:webHidden/>
              </w:rPr>
              <w:fldChar w:fldCharType="separate"/>
            </w:r>
            <w:r w:rsidR="00056CF0">
              <w:rPr>
                <w:noProof/>
                <w:webHidden/>
              </w:rPr>
              <w:t>17</w:t>
            </w:r>
            <w:r>
              <w:rPr>
                <w:noProof/>
                <w:webHidden/>
              </w:rPr>
              <w:fldChar w:fldCharType="end"/>
            </w:r>
          </w:hyperlink>
        </w:p>
        <w:p w14:paraId="69DF3496" w14:textId="3D359BBA" w:rsidR="00CD3467" w:rsidRDefault="00CD3467">
          <w:pPr>
            <w:pStyle w:val="TOC1"/>
            <w:tabs>
              <w:tab w:val="right" w:leader="dot" w:pos="8296"/>
            </w:tabs>
            <w:rPr>
              <w:rFonts w:asciiTheme="minorHAnsi" w:eastAsiaTheme="minorEastAsia" w:hAnsiTheme="minorHAnsi"/>
              <w:noProof/>
              <w:sz w:val="22"/>
              <w:szCs w:val="24"/>
              <w14:ligatures w14:val="standardContextual"/>
            </w:rPr>
          </w:pPr>
          <w:hyperlink w:anchor="_Toc169876053" w:history="1">
            <w:r w:rsidRPr="00B115A9">
              <w:rPr>
                <w:rStyle w:val="af"/>
                <w:noProof/>
              </w:rPr>
              <w:t>八、</w:t>
            </w:r>
            <w:r w:rsidRPr="00B115A9">
              <w:rPr>
                <w:rStyle w:val="af"/>
                <w:noProof/>
              </w:rPr>
              <w:t xml:space="preserve"> </w:t>
            </w:r>
            <w:r w:rsidRPr="00B115A9">
              <w:rPr>
                <w:rStyle w:val="af"/>
                <w:noProof/>
              </w:rPr>
              <w:t>标准主要内容</w:t>
            </w:r>
            <w:r>
              <w:rPr>
                <w:noProof/>
                <w:webHidden/>
              </w:rPr>
              <w:tab/>
            </w:r>
            <w:r>
              <w:rPr>
                <w:noProof/>
                <w:webHidden/>
              </w:rPr>
              <w:fldChar w:fldCharType="begin"/>
            </w:r>
            <w:r>
              <w:rPr>
                <w:noProof/>
                <w:webHidden/>
              </w:rPr>
              <w:instrText xml:space="preserve"> PAGEREF _Toc169876053 \h </w:instrText>
            </w:r>
            <w:r>
              <w:rPr>
                <w:noProof/>
                <w:webHidden/>
              </w:rPr>
            </w:r>
            <w:r>
              <w:rPr>
                <w:noProof/>
                <w:webHidden/>
              </w:rPr>
              <w:fldChar w:fldCharType="separate"/>
            </w:r>
            <w:r w:rsidR="00056CF0">
              <w:rPr>
                <w:noProof/>
                <w:webHidden/>
              </w:rPr>
              <w:t>17</w:t>
            </w:r>
            <w:r>
              <w:rPr>
                <w:noProof/>
                <w:webHidden/>
              </w:rPr>
              <w:fldChar w:fldCharType="end"/>
            </w:r>
          </w:hyperlink>
        </w:p>
        <w:p w14:paraId="32F1557B" w14:textId="4D8FC28C" w:rsidR="00CD3467" w:rsidRDefault="00CD3467">
          <w:pPr>
            <w:pStyle w:val="TOC2"/>
            <w:tabs>
              <w:tab w:val="right" w:leader="dot" w:pos="8296"/>
            </w:tabs>
            <w:rPr>
              <w:rFonts w:asciiTheme="minorHAnsi" w:eastAsiaTheme="minorEastAsia" w:hAnsiTheme="minorHAnsi"/>
              <w:noProof/>
              <w:sz w:val="22"/>
              <w:szCs w:val="24"/>
              <w14:ligatures w14:val="standardContextual"/>
            </w:rPr>
          </w:pPr>
          <w:hyperlink w:anchor="_Toc169876054" w:history="1">
            <w:r w:rsidRPr="00B115A9">
              <w:rPr>
                <w:rStyle w:val="af"/>
                <w:noProof/>
              </w:rPr>
              <w:t xml:space="preserve">1. </w:t>
            </w:r>
            <w:r w:rsidRPr="00B115A9">
              <w:rPr>
                <w:rStyle w:val="af"/>
                <w:noProof/>
              </w:rPr>
              <w:t>范围</w:t>
            </w:r>
            <w:r>
              <w:rPr>
                <w:noProof/>
                <w:webHidden/>
              </w:rPr>
              <w:tab/>
            </w:r>
            <w:r>
              <w:rPr>
                <w:noProof/>
                <w:webHidden/>
              </w:rPr>
              <w:fldChar w:fldCharType="begin"/>
            </w:r>
            <w:r>
              <w:rPr>
                <w:noProof/>
                <w:webHidden/>
              </w:rPr>
              <w:instrText xml:space="preserve"> PAGEREF _Toc169876054 \h </w:instrText>
            </w:r>
            <w:r>
              <w:rPr>
                <w:noProof/>
                <w:webHidden/>
              </w:rPr>
            </w:r>
            <w:r>
              <w:rPr>
                <w:noProof/>
                <w:webHidden/>
              </w:rPr>
              <w:fldChar w:fldCharType="separate"/>
            </w:r>
            <w:r w:rsidR="00056CF0">
              <w:rPr>
                <w:noProof/>
                <w:webHidden/>
              </w:rPr>
              <w:t>17</w:t>
            </w:r>
            <w:r>
              <w:rPr>
                <w:noProof/>
                <w:webHidden/>
              </w:rPr>
              <w:fldChar w:fldCharType="end"/>
            </w:r>
          </w:hyperlink>
        </w:p>
        <w:p w14:paraId="6F69143E" w14:textId="41E91BDD" w:rsidR="00CD3467" w:rsidRDefault="00CD3467">
          <w:pPr>
            <w:pStyle w:val="TOC2"/>
            <w:tabs>
              <w:tab w:val="right" w:leader="dot" w:pos="8296"/>
            </w:tabs>
            <w:rPr>
              <w:rFonts w:asciiTheme="minorHAnsi" w:eastAsiaTheme="minorEastAsia" w:hAnsiTheme="minorHAnsi"/>
              <w:noProof/>
              <w:sz w:val="22"/>
              <w:szCs w:val="24"/>
              <w14:ligatures w14:val="standardContextual"/>
            </w:rPr>
          </w:pPr>
          <w:hyperlink w:anchor="_Toc169876055" w:history="1">
            <w:r w:rsidRPr="00B115A9">
              <w:rPr>
                <w:rStyle w:val="af"/>
                <w:noProof/>
              </w:rPr>
              <w:t xml:space="preserve">2. </w:t>
            </w:r>
            <w:r w:rsidRPr="00B115A9">
              <w:rPr>
                <w:rStyle w:val="af"/>
                <w:noProof/>
              </w:rPr>
              <w:t>规范性引用文件</w:t>
            </w:r>
            <w:r>
              <w:rPr>
                <w:noProof/>
                <w:webHidden/>
              </w:rPr>
              <w:tab/>
            </w:r>
            <w:r>
              <w:rPr>
                <w:noProof/>
                <w:webHidden/>
              </w:rPr>
              <w:fldChar w:fldCharType="begin"/>
            </w:r>
            <w:r>
              <w:rPr>
                <w:noProof/>
                <w:webHidden/>
              </w:rPr>
              <w:instrText xml:space="preserve"> PAGEREF _Toc169876055 \h </w:instrText>
            </w:r>
            <w:r>
              <w:rPr>
                <w:noProof/>
                <w:webHidden/>
              </w:rPr>
            </w:r>
            <w:r>
              <w:rPr>
                <w:noProof/>
                <w:webHidden/>
              </w:rPr>
              <w:fldChar w:fldCharType="separate"/>
            </w:r>
            <w:r w:rsidR="00056CF0">
              <w:rPr>
                <w:noProof/>
                <w:webHidden/>
              </w:rPr>
              <w:t>17</w:t>
            </w:r>
            <w:r>
              <w:rPr>
                <w:noProof/>
                <w:webHidden/>
              </w:rPr>
              <w:fldChar w:fldCharType="end"/>
            </w:r>
          </w:hyperlink>
        </w:p>
        <w:p w14:paraId="2D3A7015" w14:textId="4B47CB45" w:rsidR="00CD3467" w:rsidRDefault="00CD3467">
          <w:pPr>
            <w:pStyle w:val="TOC2"/>
            <w:tabs>
              <w:tab w:val="right" w:leader="dot" w:pos="8296"/>
            </w:tabs>
            <w:rPr>
              <w:rFonts w:asciiTheme="minorHAnsi" w:eastAsiaTheme="minorEastAsia" w:hAnsiTheme="minorHAnsi"/>
              <w:noProof/>
              <w:sz w:val="22"/>
              <w:szCs w:val="24"/>
              <w14:ligatures w14:val="standardContextual"/>
            </w:rPr>
          </w:pPr>
          <w:hyperlink w:anchor="_Toc169876056" w:history="1">
            <w:r w:rsidRPr="00B115A9">
              <w:rPr>
                <w:rStyle w:val="af"/>
                <w:noProof/>
              </w:rPr>
              <w:t xml:space="preserve">3. </w:t>
            </w:r>
            <w:r w:rsidRPr="00B115A9">
              <w:rPr>
                <w:rStyle w:val="af"/>
                <w:noProof/>
              </w:rPr>
              <w:t>术语和定义</w:t>
            </w:r>
            <w:r>
              <w:rPr>
                <w:noProof/>
                <w:webHidden/>
              </w:rPr>
              <w:tab/>
            </w:r>
            <w:r>
              <w:rPr>
                <w:noProof/>
                <w:webHidden/>
              </w:rPr>
              <w:fldChar w:fldCharType="begin"/>
            </w:r>
            <w:r>
              <w:rPr>
                <w:noProof/>
                <w:webHidden/>
              </w:rPr>
              <w:instrText xml:space="preserve"> PAGEREF _Toc169876056 \h </w:instrText>
            </w:r>
            <w:r>
              <w:rPr>
                <w:noProof/>
                <w:webHidden/>
              </w:rPr>
            </w:r>
            <w:r>
              <w:rPr>
                <w:noProof/>
                <w:webHidden/>
              </w:rPr>
              <w:fldChar w:fldCharType="separate"/>
            </w:r>
            <w:r w:rsidR="00056CF0">
              <w:rPr>
                <w:noProof/>
                <w:webHidden/>
              </w:rPr>
              <w:t>18</w:t>
            </w:r>
            <w:r>
              <w:rPr>
                <w:noProof/>
                <w:webHidden/>
              </w:rPr>
              <w:fldChar w:fldCharType="end"/>
            </w:r>
          </w:hyperlink>
        </w:p>
        <w:p w14:paraId="35EA9C4A" w14:textId="779CEA8F" w:rsidR="00CD3467" w:rsidRDefault="00CD3467">
          <w:pPr>
            <w:pStyle w:val="TOC2"/>
            <w:tabs>
              <w:tab w:val="right" w:leader="dot" w:pos="8296"/>
            </w:tabs>
            <w:rPr>
              <w:rFonts w:asciiTheme="minorHAnsi" w:eastAsiaTheme="minorEastAsia" w:hAnsiTheme="minorHAnsi"/>
              <w:noProof/>
              <w:sz w:val="22"/>
              <w:szCs w:val="24"/>
              <w14:ligatures w14:val="standardContextual"/>
            </w:rPr>
          </w:pPr>
          <w:hyperlink w:anchor="_Toc169876057" w:history="1">
            <w:r w:rsidRPr="00B115A9">
              <w:rPr>
                <w:rStyle w:val="af"/>
                <w:noProof/>
              </w:rPr>
              <w:t xml:space="preserve">4. </w:t>
            </w:r>
            <w:r w:rsidRPr="00B115A9">
              <w:rPr>
                <w:rStyle w:val="af"/>
                <w:noProof/>
              </w:rPr>
              <w:t>基本规定</w:t>
            </w:r>
            <w:r>
              <w:rPr>
                <w:noProof/>
                <w:webHidden/>
              </w:rPr>
              <w:tab/>
            </w:r>
            <w:r>
              <w:rPr>
                <w:noProof/>
                <w:webHidden/>
              </w:rPr>
              <w:fldChar w:fldCharType="begin"/>
            </w:r>
            <w:r>
              <w:rPr>
                <w:noProof/>
                <w:webHidden/>
              </w:rPr>
              <w:instrText xml:space="preserve"> PAGEREF _Toc169876057 \h </w:instrText>
            </w:r>
            <w:r>
              <w:rPr>
                <w:noProof/>
                <w:webHidden/>
              </w:rPr>
            </w:r>
            <w:r>
              <w:rPr>
                <w:noProof/>
                <w:webHidden/>
              </w:rPr>
              <w:fldChar w:fldCharType="separate"/>
            </w:r>
            <w:r w:rsidR="00056CF0">
              <w:rPr>
                <w:noProof/>
                <w:webHidden/>
              </w:rPr>
              <w:t>18</w:t>
            </w:r>
            <w:r>
              <w:rPr>
                <w:noProof/>
                <w:webHidden/>
              </w:rPr>
              <w:fldChar w:fldCharType="end"/>
            </w:r>
          </w:hyperlink>
        </w:p>
        <w:p w14:paraId="047A8161" w14:textId="6A65CAC7" w:rsidR="00CD3467" w:rsidRDefault="00CD3467">
          <w:pPr>
            <w:pStyle w:val="TOC2"/>
            <w:tabs>
              <w:tab w:val="right" w:leader="dot" w:pos="8296"/>
            </w:tabs>
            <w:rPr>
              <w:rFonts w:asciiTheme="minorHAnsi" w:eastAsiaTheme="minorEastAsia" w:hAnsiTheme="minorHAnsi"/>
              <w:noProof/>
              <w:sz w:val="22"/>
              <w:szCs w:val="24"/>
              <w14:ligatures w14:val="standardContextual"/>
            </w:rPr>
          </w:pPr>
          <w:hyperlink w:anchor="_Toc169876058" w:history="1">
            <w:r w:rsidRPr="00B115A9">
              <w:rPr>
                <w:rStyle w:val="af"/>
                <w:noProof/>
              </w:rPr>
              <w:t xml:space="preserve">5. </w:t>
            </w:r>
            <w:r w:rsidRPr="00B115A9">
              <w:rPr>
                <w:rStyle w:val="af"/>
                <w:noProof/>
              </w:rPr>
              <w:t>核算边界</w:t>
            </w:r>
            <w:r>
              <w:rPr>
                <w:noProof/>
                <w:webHidden/>
              </w:rPr>
              <w:tab/>
            </w:r>
            <w:r>
              <w:rPr>
                <w:noProof/>
                <w:webHidden/>
              </w:rPr>
              <w:fldChar w:fldCharType="begin"/>
            </w:r>
            <w:r>
              <w:rPr>
                <w:noProof/>
                <w:webHidden/>
              </w:rPr>
              <w:instrText xml:space="preserve"> PAGEREF _Toc169876058 \h </w:instrText>
            </w:r>
            <w:r>
              <w:rPr>
                <w:noProof/>
                <w:webHidden/>
              </w:rPr>
            </w:r>
            <w:r>
              <w:rPr>
                <w:noProof/>
                <w:webHidden/>
              </w:rPr>
              <w:fldChar w:fldCharType="separate"/>
            </w:r>
            <w:r w:rsidR="00056CF0">
              <w:rPr>
                <w:noProof/>
                <w:webHidden/>
              </w:rPr>
              <w:t>19</w:t>
            </w:r>
            <w:r>
              <w:rPr>
                <w:noProof/>
                <w:webHidden/>
              </w:rPr>
              <w:fldChar w:fldCharType="end"/>
            </w:r>
          </w:hyperlink>
        </w:p>
        <w:p w14:paraId="6AC20615" w14:textId="3B40D9CD" w:rsidR="00CD3467" w:rsidRDefault="00CD3467">
          <w:pPr>
            <w:pStyle w:val="TOC2"/>
            <w:tabs>
              <w:tab w:val="right" w:leader="dot" w:pos="8296"/>
            </w:tabs>
            <w:rPr>
              <w:rFonts w:asciiTheme="minorHAnsi" w:eastAsiaTheme="minorEastAsia" w:hAnsiTheme="minorHAnsi"/>
              <w:noProof/>
              <w:sz w:val="22"/>
              <w:szCs w:val="24"/>
              <w14:ligatures w14:val="standardContextual"/>
            </w:rPr>
          </w:pPr>
          <w:hyperlink w:anchor="_Toc169876059" w:history="1">
            <w:r w:rsidRPr="00B115A9">
              <w:rPr>
                <w:rStyle w:val="af"/>
                <w:noProof/>
              </w:rPr>
              <w:t xml:space="preserve">6. </w:t>
            </w:r>
            <w:r w:rsidRPr="00B115A9">
              <w:rPr>
                <w:rStyle w:val="af"/>
                <w:noProof/>
              </w:rPr>
              <w:t>核算流程</w:t>
            </w:r>
            <w:r>
              <w:rPr>
                <w:noProof/>
                <w:webHidden/>
              </w:rPr>
              <w:tab/>
            </w:r>
            <w:r>
              <w:rPr>
                <w:noProof/>
                <w:webHidden/>
              </w:rPr>
              <w:fldChar w:fldCharType="begin"/>
            </w:r>
            <w:r>
              <w:rPr>
                <w:noProof/>
                <w:webHidden/>
              </w:rPr>
              <w:instrText xml:space="preserve"> PAGEREF _Toc169876059 \h </w:instrText>
            </w:r>
            <w:r>
              <w:rPr>
                <w:noProof/>
                <w:webHidden/>
              </w:rPr>
            </w:r>
            <w:r>
              <w:rPr>
                <w:noProof/>
                <w:webHidden/>
              </w:rPr>
              <w:fldChar w:fldCharType="separate"/>
            </w:r>
            <w:r w:rsidR="00056CF0">
              <w:rPr>
                <w:noProof/>
                <w:webHidden/>
              </w:rPr>
              <w:t>20</w:t>
            </w:r>
            <w:r>
              <w:rPr>
                <w:noProof/>
                <w:webHidden/>
              </w:rPr>
              <w:fldChar w:fldCharType="end"/>
            </w:r>
          </w:hyperlink>
        </w:p>
        <w:p w14:paraId="30703509" w14:textId="3CC1305E" w:rsidR="00CD3467" w:rsidRDefault="00CD3467">
          <w:pPr>
            <w:pStyle w:val="TOC2"/>
            <w:tabs>
              <w:tab w:val="right" w:leader="dot" w:pos="8296"/>
            </w:tabs>
            <w:rPr>
              <w:rFonts w:asciiTheme="minorHAnsi" w:eastAsiaTheme="minorEastAsia" w:hAnsiTheme="minorHAnsi"/>
              <w:noProof/>
              <w:sz w:val="22"/>
              <w:szCs w:val="24"/>
              <w14:ligatures w14:val="standardContextual"/>
            </w:rPr>
          </w:pPr>
          <w:hyperlink w:anchor="_Toc169876060" w:history="1">
            <w:r w:rsidRPr="00B115A9">
              <w:rPr>
                <w:rStyle w:val="af"/>
                <w:noProof/>
              </w:rPr>
              <w:t xml:space="preserve">7. </w:t>
            </w:r>
            <w:r w:rsidRPr="00B115A9">
              <w:rPr>
                <w:rStyle w:val="af"/>
                <w:noProof/>
              </w:rPr>
              <w:t>核算方法</w:t>
            </w:r>
            <w:r>
              <w:rPr>
                <w:noProof/>
                <w:webHidden/>
              </w:rPr>
              <w:tab/>
            </w:r>
            <w:r>
              <w:rPr>
                <w:noProof/>
                <w:webHidden/>
              </w:rPr>
              <w:fldChar w:fldCharType="begin"/>
            </w:r>
            <w:r>
              <w:rPr>
                <w:noProof/>
                <w:webHidden/>
              </w:rPr>
              <w:instrText xml:space="preserve"> PAGEREF _Toc169876060 \h </w:instrText>
            </w:r>
            <w:r>
              <w:rPr>
                <w:noProof/>
                <w:webHidden/>
              </w:rPr>
            </w:r>
            <w:r>
              <w:rPr>
                <w:noProof/>
                <w:webHidden/>
              </w:rPr>
              <w:fldChar w:fldCharType="separate"/>
            </w:r>
            <w:r w:rsidR="00056CF0">
              <w:rPr>
                <w:noProof/>
                <w:webHidden/>
              </w:rPr>
              <w:t>20</w:t>
            </w:r>
            <w:r>
              <w:rPr>
                <w:noProof/>
                <w:webHidden/>
              </w:rPr>
              <w:fldChar w:fldCharType="end"/>
            </w:r>
          </w:hyperlink>
        </w:p>
        <w:p w14:paraId="5BAF7934" w14:textId="165AECAE" w:rsidR="00CD3467" w:rsidRDefault="00CD3467">
          <w:pPr>
            <w:pStyle w:val="TOC2"/>
            <w:tabs>
              <w:tab w:val="right" w:leader="dot" w:pos="8296"/>
            </w:tabs>
            <w:rPr>
              <w:rFonts w:asciiTheme="minorHAnsi" w:eastAsiaTheme="minorEastAsia" w:hAnsiTheme="minorHAnsi"/>
              <w:noProof/>
              <w:sz w:val="22"/>
              <w:szCs w:val="24"/>
              <w14:ligatures w14:val="standardContextual"/>
            </w:rPr>
          </w:pPr>
          <w:hyperlink w:anchor="_Toc169876061" w:history="1">
            <w:r w:rsidRPr="00B115A9">
              <w:rPr>
                <w:rStyle w:val="af"/>
                <w:noProof/>
              </w:rPr>
              <w:t xml:space="preserve">8. </w:t>
            </w:r>
            <w:r w:rsidRPr="00B115A9">
              <w:rPr>
                <w:rStyle w:val="af"/>
                <w:noProof/>
              </w:rPr>
              <w:t>活动数据</w:t>
            </w:r>
            <w:r>
              <w:rPr>
                <w:noProof/>
                <w:webHidden/>
              </w:rPr>
              <w:tab/>
            </w:r>
            <w:r>
              <w:rPr>
                <w:noProof/>
                <w:webHidden/>
              </w:rPr>
              <w:fldChar w:fldCharType="begin"/>
            </w:r>
            <w:r>
              <w:rPr>
                <w:noProof/>
                <w:webHidden/>
              </w:rPr>
              <w:instrText xml:space="preserve"> PAGEREF _Toc169876061 \h </w:instrText>
            </w:r>
            <w:r>
              <w:rPr>
                <w:noProof/>
                <w:webHidden/>
              </w:rPr>
            </w:r>
            <w:r>
              <w:rPr>
                <w:noProof/>
                <w:webHidden/>
              </w:rPr>
              <w:fldChar w:fldCharType="separate"/>
            </w:r>
            <w:r w:rsidR="00056CF0">
              <w:rPr>
                <w:noProof/>
                <w:webHidden/>
              </w:rPr>
              <w:t>26</w:t>
            </w:r>
            <w:r>
              <w:rPr>
                <w:noProof/>
                <w:webHidden/>
              </w:rPr>
              <w:fldChar w:fldCharType="end"/>
            </w:r>
          </w:hyperlink>
        </w:p>
        <w:p w14:paraId="75C99F0C" w14:textId="7F429D70" w:rsidR="00CD3467" w:rsidRDefault="00CD3467">
          <w:pPr>
            <w:pStyle w:val="TOC2"/>
            <w:tabs>
              <w:tab w:val="right" w:leader="dot" w:pos="8296"/>
            </w:tabs>
            <w:rPr>
              <w:rFonts w:asciiTheme="minorHAnsi" w:eastAsiaTheme="minorEastAsia" w:hAnsiTheme="minorHAnsi"/>
              <w:noProof/>
              <w:sz w:val="22"/>
              <w:szCs w:val="24"/>
              <w14:ligatures w14:val="standardContextual"/>
            </w:rPr>
          </w:pPr>
          <w:hyperlink w:anchor="_Toc169876062" w:history="1">
            <w:r w:rsidRPr="00B115A9">
              <w:rPr>
                <w:rStyle w:val="af"/>
                <w:noProof/>
              </w:rPr>
              <w:t xml:space="preserve">9. </w:t>
            </w:r>
            <w:r w:rsidRPr="00B115A9">
              <w:rPr>
                <w:rStyle w:val="af"/>
                <w:noProof/>
              </w:rPr>
              <w:t>排放因子</w:t>
            </w:r>
            <w:r>
              <w:rPr>
                <w:noProof/>
                <w:webHidden/>
              </w:rPr>
              <w:tab/>
            </w:r>
            <w:r>
              <w:rPr>
                <w:noProof/>
                <w:webHidden/>
              </w:rPr>
              <w:fldChar w:fldCharType="begin"/>
            </w:r>
            <w:r>
              <w:rPr>
                <w:noProof/>
                <w:webHidden/>
              </w:rPr>
              <w:instrText xml:space="preserve"> PAGEREF _Toc169876062 \h </w:instrText>
            </w:r>
            <w:r>
              <w:rPr>
                <w:noProof/>
                <w:webHidden/>
              </w:rPr>
            </w:r>
            <w:r>
              <w:rPr>
                <w:noProof/>
                <w:webHidden/>
              </w:rPr>
              <w:fldChar w:fldCharType="separate"/>
            </w:r>
            <w:r w:rsidR="00056CF0">
              <w:rPr>
                <w:noProof/>
                <w:webHidden/>
              </w:rPr>
              <w:t>32</w:t>
            </w:r>
            <w:r>
              <w:rPr>
                <w:noProof/>
                <w:webHidden/>
              </w:rPr>
              <w:fldChar w:fldCharType="end"/>
            </w:r>
          </w:hyperlink>
        </w:p>
        <w:p w14:paraId="52E7836C" w14:textId="1AD32194" w:rsidR="00CD3467" w:rsidRDefault="00CD3467">
          <w:pPr>
            <w:pStyle w:val="TOC2"/>
            <w:tabs>
              <w:tab w:val="right" w:leader="dot" w:pos="8296"/>
            </w:tabs>
            <w:rPr>
              <w:rFonts w:asciiTheme="minorHAnsi" w:eastAsiaTheme="minorEastAsia" w:hAnsiTheme="minorHAnsi"/>
              <w:noProof/>
              <w:sz w:val="22"/>
              <w:szCs w:val="24"/>
              <w14:ligatures w14:val="standardContextual"/>
            </w:rPr>
          </w:pPr>
          <w:hyperlink w:anchor="_Toc169876063" w:history="1">
            <w:r w:rsidRPr="00B115A9">
              <w:rPr>
                <w:rStyle w:val="af"/>
                <w:noProof/>
              </w:rPr>
              <w:t xml:space="preserve">10. </w:t>
            </w:r>
            <w:r w:rsidRPr="00B115A9">
              <w:rPr>
                <w:rStyle w:val="af"/>
                <w:noProof/>
              </w:rPr>
              <w:t>不确定性分析</w:t>
            </w:r>
            <w:r>
              <w:rPr>
                <w:noProof/>
                <w:webHidden/>
              </w:rPr>
              <w:tab/>
            </w:r>
            <w:r>
              <w:rPr>
                <w:noProof/>
                <w:webHidden/>
              </w:rPr>
              <w:fldChar w:fldCharType="begin"/>
            </w:r>
            <w:r>
              <w:rPr>
                <w:noProof/>
                <w:webHidden/>
              </w:rPr>
              <w:instrText xml:space="preserve"> PAGEREF _Toc169876063 \h </w:instrText>
            </w:r>
            <w:r>
              <w:rPr>
                <w:noProof/>
                <w:webHidden/>
              </w:rPr>
            </w:r>
            <w:r>
              <w:rPr>
                <w:noProof/>
                <w:webHidden/>
              </w:rPr>
              <w:fldChar w:fldCharType="separate"/>
            </w:r>
            <w:r w:rsidR="00056CF0">
              <w:rPr>
                <w:noProof/>
                <w:webHidden/>
              </w:rPr>
              <w:t>32</w:t>
            </w:r>
            <w:r>
              <w:rPr>
                <w:noProof/>
                <w:webHidden/>
              </w:rPr>
              <w:fldChar w:fldCharType="end"/>
            </w:r>
          </w:hyperlink>
        </w:p>
        <w:p w14:paraId="16A9AE03" w14:textId="33945353" w:rsidR="00CD3467" w:rsidRDefault="00CD3467">
          <w:pPr>
            <w:pStyle w:val="TOC2"/>
            <w:tabs>
              <w:tab w:val="right" w:leader="dot" w:pos="8296"/>
            </w:tabs>
            <w:rPr>
              <w:rFonts w:asciiTheme="minorHAnsi" w:eastAsiaTheme="minorEastAsia" w:hAnsiTheme="minorHAnsi"/>
              <w:noProof/>
              <w:sz w:val="22"/>
              <w:szCs w:val="24"/>
              <w14:ligatures w14:val="standardContextual"/>
            </w:rPr>
          </w:pPr>
          <w:hyperlink w:anchor="_Toc169876064" w:history="1">
            <w:r w:rsidRPr="00B115A9">
              <w:rPr>
                <w:rStyle w:val="af"/>
                <w:noProof/>
              </w:rPr>
              <w:t xml:space="preserve">11. </w:t>
            </w:r>
            <w:r w:rsidRPr="00B115A9">
              <w:rPr>
                <w:rStyle w:val="af"/>
                <w:noProof/>
              </w:rPr>
              <w:t>核算工作质量管理</w:t>
            </w:r>
            <w:r>
              <w:rPr>
                <w:noProof/>
                <w:webHidden/>
              </w:rPr>
              <w:tab/>
            </w:r>
            <w:r>
              <w:rPr>
                <w:noProof/>
                <w:webHidden/>
              </w:rPr>
              <w:fldChar w:fldCharType="begin"/>
            </w:r>
            <w:r>
              <w:rPr>
                <w:noProof/>
                <w:webHidden/>
              </w:rPr>
              <w:instrText xml:space="preserve"> PAGEREF _Toc169876064 \h </w:instrText>
            </w:r>
            <w:r>
              <w:rPr>
                <w:noProof/>
                <w:webHidden/>
              </w:rPr>
            </w:r>
            <w:r>
              <w:rPr>
                <w:noProof/>
                <w:webHidden/>
              </w:rPr>
              <w:fldChar w:fldCharType="separate"/>
            </w:r>
            <w:r w:rsidR="00056CF0">
              <w:rPr>
                <w:noProof/>
                <w:webHidden/>
              </w:rPr>
              <w:t>33</w:t>
            </w:r>
            <w:r>
              <w:rPr>
                <w:noProof/>
                <w:webHidden/>
              </w:rPr>
              <w:fldChar w:fldCharType="end"/>
            </w:r>
          </w:hyperlink>
        </w:p>
        <w:p w14:paraId="06857286" w14:textId="1FDB0A22" w:rsidR="00CD3467" w:rsidRDefault="00CD3467">
          <w:pPr>
            <w:pStyle w:val="TOC2"/>
            <w:tabs>
              <w:tab w:val="right" w:leader="dot" w:pos="8296"/>
            </w:tabs>
            <w:rPr>
              <w:rFonts w:asciiTheme="minorHAnsi" w:eastAsiaTheme="minorEastAsia" w:hAnsiTheme="minorHAnsi"/>
              <w:noProof/>
              <w:sz w:val="22"/>
              <w:szCs w:val="24"/>
              <w14:ligatures w14:val="standardContextual"/>
            </w:rPr>
          </w:pPr>
          <w:hyperlink w:anchor="_Toc169876065" w:history="1">
            <w:r w:rsidRPr="00B115A9">
              <w:rPr>
                <w:rStyle w:val="af"/>
                <w:noProof/>
              </w:rPr>
              <w:t xml:space="preserve">12. </w:t>
            </w:r>
            <w:r w:rsidRPr="00B115A9">
              <w:rPr>
                <w:rStyle w:val="af"/>
                <w:noProof/>
              </w:rPr>
              <w:t>报告内容和格式</w:t>
            </w:r>
            <w:r>
              <w:rPr>
                <w:noProof/>
                <w:webHidden/>
              </w:rPr>
              <w:tab/>
            </w:r>
            <w:r>
              <w:rPr>
                <w:noProof/>
                <w:webHidden/>
              </w:rPr>
              <w:fldChar w:fldCharType="begin"/>
            </w:r>
            <w:r>
              <w:rPr>
                <w:noProof/>
                <w:webHidden/>
              </w:rPr>
              <w:instrText xml:space="preserve"> PAGEREF _Toc169876065 \h </w:instrText>
            </w:r>
            <w:r>
              <w:rPr>
                <w:noProof/>
                <w:webHidden/>
              </w:rPr>
            </w:r>
            <w:r>
              <w:rPr>
                <w:noProof/>
                <w:webHidden/>
              </w:rPr>
              <w:fldChar w:fldCharType="separate"/>
            </w:r>
            <w:r w:rsidR="00056CF0">
              <w:rPr>
                <w:noProof/>
                <w:webHidden/>
              </w:rPr>
              <w:t>34</w:t>
            </w:r>
            <w:r>
              <w:rPr>
                <w:noProof/>
                <w:webHidden/>
              </w:rPr>
              <w:fldChar w:fldCharType="end"/>
            </w:r>
          </w:hyperlink>
        </w:p>
        <w:p w14:paraId="48873274" w14:textId="44924AA5" w:rsidR="00CD3467" w:rsidRDefault="00CD3467">
          <w:pPr>
            <w:pStyle w:val="TOC2"/>
            <w:tabs>
              <w:tab w:val="right" w:leader="dot" w:pos="8296"/>
            </w:tabs>
            <w:rPr>
              <w:rFonts w:asciiTheme="minorHAnsi" w:eastAsiaTheme="minorEastAsia" w:hAnsiTheme="minorHAnsi"/>
              <w:noProof/>
              <w:sz w:val="22"/>
              <w:szCs w:val="24"/>
              <w14:ligatures w14:val="standardContextual"/>
            </w:rPr>
          </w:pPr>
          <w:hyperlink w:anchor="_Toc169876066" w:history="1">
            <w:r w:rsidRPr="00B115A9">
              <w:rPr>
                <w:rStyle w:val="af"/>
                <w:noProof/>
              </w:rPr>
              <w:t xml:space="preserve">13. </w:t>
            </w:r>
            <w:r w:rsidRPr="00B115A9">
              <w:rPr>
                <w:rStyle w:val="af"/>
                <w:noProof/>
              </w:rPr>
              <w:t>附录</w:t>
            </w:r>
            <w:r>
              <w:rPr>
                <w:noProof/>
                <w:webHidden/>
              </w:rPr>
              <w:tab/>
            </w:r>
            <w:r>
              <w:rPr>
                <w:noProof/>
                <w:webHidden/>
              </w:rPr>
              <w:fldChar w:fldCharType="begin"/>
            </w:r>
            <w:r>
              <w:rPr>
                <w:noProof/>
                <w:webHidden/>
              </w:rPr>
              <w:instrText xml:space="preserve"> PAGEREF _Toc169876066 \h </w:instrText>
            </w:r>
            <w:r>
              <w:rPr>
                <w:noProof/>
                <w:webHidden/>
              </w:rPr>
            </w:r>
            <w:r>
              <w:rPr>
                <w:noProof/>
                <w:webHidden/>
              </w:rPr>
              <w:fldChar w:fldCharType="separate"/>
            </w:r>
            <w:r w:rsidR="00056CF0">
              <w:rPr>
                <w:noProof/>
                <w:webHidden/>
              </w:rPr>
              <w:t>34</w:t>
            </w:r>
            <w:r>
              <w:rPr>
                <w:noProof/>
                <w:webHidden/>
              </w:rPr>
              <w:fldChar w:fldCharType="end"/>
            </w:r>
          </w:hyperlink>
        </w:p>
        <w:p w14:paraId="05A779B1" w14:textId="17F938A7" w:rsidR="00CD3467" w:rsidRDefault="00CD3467">
          <w:pPr>
            <w:pStyle w:val="TOC1"/>
            <w:tabs>
              <w:tab w:val="right" w:leader="dot" w:pos="8296"/>
            </w:tabs>
            <w:rPr>
              <w:rFonts w:asciiTheme="minorHAnsi" w:eastAsiaTheme="minorEastAsia" w:hAnsiTheme="minorHAnsi"/>
              <w:noProof/>
              <w:sz w:val="22"/>
              <w:szCs w:val="24"/>
              <w14:ligatures w14:val="standardContextual"/>
            </w:rPr>
          </w:pPr>
          <w:hyperlink w:anchor="_Toc169876067" w:history="1">
            <w:r w:rsidRPr="00B115A9">
              <w:rPr>
                <w:rStyle w:val="af"/>
                <w:noProof/>
              </w:rPr>
              <w:t>九、</w:t>
            </w:r>
            <w:r w:rsidRPr="00B115A9">
              <w:rPr>
                <w:rStyle w:val="af"/>
                <w:noProof/>
              </w:rPr>
              <w:t xml:space="preserve"> </w:t>
            </w:r>
            <w:r w:rsidRPr="00B115A9">
              <w:rPr>
                <w:rStyle w:val="af"/>
                <w:noProof/>
              </w:rPr>
              <w:t>主要工作过程</w:t>
            </w:r>
            <w:r>
              <w:rPr>
                <w:noProof/>
                <w:webHidden/>
              </w:rPr>
              <w:tab/>
            </w:r>
            <w:r>
              <w:rPr>
                <w:noProof/>
                <w:webHidden/>
              </w:rPr>
              <w:fldChar w:fldCharType="begin"/>
            </w:r>
            <w:r>
              <w:rPr>
                <w:noProof/>
                <w:webHidden/>
              </w:rPr>
              <w:instrText xml:space="preserve"> PAGEREF _Toc169876067 \h </w:instrText>
            </w:r>
            <w:r>
              <w:rPr>
                <w:noProof/>
                <w:webHidden/>
              </w:rPr>
            </w:r>
            <w:r>
              <w:rPr>
                <w:noProof/>
                <w:webHidden/>
              </w:rPr>
              <w:fldChar w:fldCharType="separate"/>
            </w:r>
            <w:r w:rsidR="00056CF0">
              <w:rPr>
                <w:noProof/>
                <w:webHidden/>
              </w:rPr>
              <w:t>35</w:t>
            </w:r>
            <w:r>
              <w:rPr>
                <w:noProof/>
                <w:webHidden/>
              </w:rPr>
              <w:fldChar w:fldCharType="end"/>
            </w:r>
          </w:hyperlink>
        </w:p>
        <w:p w14:paraId="04F41DD9" w14:textId="2AB583A0" w:rsidR="00CD3467" w:rsidRDefault="00CD3467">
          <w:pPr>
            <w:pStyle w:val="TOC1"/>
            <w:tabs>
              <w:tab w:val="right" w:leader="dot" w:pos="8296"/>
            </w:tabs>
            <w:rPr>
              <w:rFonts w:asciiTheme="minorHAnsi" w:eastAsiaTheme="minorEastAsia" w:hAnsiTheme="minorHAnsi"/>
              <w:noProof/>
              <w:sz w:val="22"/>
              <w:szCs w:val="24"/>
              <w14:ligatures w14:val="standardContextual"/>
            </w:rPr>
          </w:pPr>
          <w:hyperlink w:anchor="_Toc169876068" w:history="1">
            <w:r w:rsidRPr="00B115A9">
              <w:rPr>
                <w:rStyle w:val="af"/>
                <w:noProof/>
              </w:rPr>
              <w:t>十、</w:t>
            </w:r>
            <w:r w:rsidRPr="00B115A9">
              <w:rPr>
                <w:rStyle w:val="af"/>
                <w:noProof/>
              </w:rPr>
              <w:t xml:space="preserve"> </w:t>
            </w:r>
            <w:r w:rsidRPr="00B115A9">
              <w:rPr>
                <w:rStyle w:val="af"/>
                <w:noProof/>
              </w:rPr>
              <w:t>采用国内外先进标准的情况，与国内外同类标准水平的对比情况</w:t>
            </w:r>
            <w:r>
              <w:rPr>
                <w:noProof/>
                <w:webHidden/>
              </w:rPr>
              <w:tab/>
            </w:r>
            <w:r>
              <w:rPr>
                <w:noProof/>
                <w:webHidden/>
              </w:rPr>
              <w:fldChar w:fldCharType="begin"/>
            </w:r>
            <w:r>
              <w:rPr>
                <w:noProof/>
                <w:webHidden/>
              </w:rPr>
              <w:instrText xml:space="preserve"> PAGEREF _Toc169876068 \h </w:instrText>
            </w:r>
            <w:r>
              <w:rPr>
                <w:noProof/>
                <w:webHidden/>
              </w:rPr>
            </w:r>
            <w:r>
              <w:rPr>
                <w:noProof/>
                <w:webHidden/>
              </w:rPr>
              <w:fldChar w:fldCharType="separate"/>
            </w:r>
            <w:r w:rsidR="00056CF0">
              <w:rPr>
                <w:noProof/>
                <w:webHidden/>
              </w:rPr>
              <w:t>36</w:t>
            </w:r>
            <w:r>
              <w:rPr>
                <w:noProof/>
                <w:webHidden/>
              </w:rPr>
              <w:fldChar w:fldCharType="end"/>
            </w:r>
          </w:hyperlink>
        </w:p>
        <w:p w14:paraId="2429B732" w14:textId="30E0F3CC" w:rsidR="00CD3467" w:rsidRDefault="00CD3467">
          <w:pPr>
            <w:pStyle w:val="TOC1"/>
            <w:tabs>
              <w:tab w:val="right" w:leader="dot" w:pos="8296"/>
            </w:tabs>
            <w:rPr>
              <w:rFonts w:asciiTheme="minorHAnsi" w:eastAsiaTheme="minorEastAsia" w:hAnsiTheme="minorHAnsi"/>
              <w:noProof/>
              <w:sz w:val="22"/>
              <w:szCs w:val="24"/>
              <w14:ligatures w14:val="standardContextual"/>
            </w:rPr>
          </w:pPr>
          <w:hyperlink w:anchor="_Toc169876069" w:history="1">
            <w:r w:rsidRPr="00B115A9">
              <w:rPr>
                <w:rStyle w:val="af"/>
                <w:noProof/>
              </w:rPr>
              <w:t>十一、</w:t>
            </w:r>
            <w:r w:rsidRPr="00B115A9">
              <w:rPr>
                <w:rStyle w:val="af"/>
                <w:noProof/>
              </w:rPr>
              <w:t xml:space="preserve"> </w:t>
            </w:r>
            <w:r w:rsidRPr="00B115A9">
              <w:rPr>
                <w:rStyle w:val="af"/>
                <w:noProof/>
              </w:rPr>
              <w:t>与有关现行法律、法规和强制性国家标准的关系</w:t>
            </w:r>
            <w:r>
              <w:rPr>
                <w:noProof/>
                <w:webHidden/>
              </w:rPr>
              <w:tab/>
            </w:r>
            <w:r>
              <w:rPr>
                <w:noProof/>
                <w:webHidden/>
              </w:rPr>
              <w:fldChar w:fldCharType="begin"/>
            </w:r>
            <w:r>
              <w:rPr>
                <w:noProof/>
                <w:webHidden/>
              </w:rPr>
              <w:instrText xml:space="preserve"> PAGEREF _Toc169876069 \h </w:instrText>
            </w:r>
            <w:r>
              <w:rPr>
                <w:noProof/>
                <w:webHidden/>
              </w:rPr>
            </w:r>
            <w:r>
              <w:rPr>
                <w:noProof/>
                <w:webHidden/>
              </w:rPr>
              <w:fldChar w:fldCharType="separate"/>
            </w:r>
            <w:r w:rsidR="00056CF0">
              <w:rPr>
                <w:noProof/>
                <w:webHidden/>
              </w:rPr>
              <w:t>36</w:t>
            </w:r>
            <w:r>
              <w:rPr>
                <w:noProof/>
                <w:webHidden/>
              </w:rPr>
              <w:fldChar w:fldCharType="end"/>
            </w:r>
          </w:hyperlink>
        </w:p>
        <w:p w14:paraId="6F65B6D4" w14:textId="2DC1FBBC" w:rsidR="00CD3467" w:rsidRDefault="00CD3467">
          <w:pPr>
            <w:pStyle w:val="TOC1"/>
            <w:tabs>
              <w:tab w:val="right" w:leader="dot" w:pos="8296"/>
            </w:tabs>
            <w:rPr>
              <w:rFonts w:asciiTheme="minorHAnsi" w:eastAsiaTheme="minorEastAsia" w:hAnsiTheme="minorHAnsi"/>
              <w:noProof/>
              <w:sz w:val="22"/>
              <w:szCs w:val="24"/>
              <w14:ligatures w14:val="standardContextual"/>
            </w:rPr>
          </w:pPr>
          <w:hyperlink w:anchor="_Toc169876070" w:history="1">
            <w:r w:rsidRPr="00B115A9">
              <w:rPr>
                <w:rStyle w:val="af"/>
                <w:noProof/>
              </w:rPr>
              <w:t>十二、</w:t>
            </w:r>
            <w:r w:rsidRPr="00B115A9">
              <w:rPr>
                <w:rStyle w:val="af"/>
                <w:noProof/>
              </w:rPr>
              <w:t xml:space="preserve"> </w:t>
            </w:r>
            <w:r w:rsidRPr="00B115A9">
              <w:rPr>
                <w:rStyle w:val="af"/>
                <w:noProof/>
              </w:rPr>
              <w:t>重大意见分歧的处理依据和结果</w:t>
            </w:r>
            <w:r>
              <w:rPr>
                <w:noProof/>
                <w:webHidden/>
              </w:rPr>
              <w:tab/>
            </w:r>
            <w:r>
              <w:rPr>
                <w:noProof/>
                <w:webHidden/>
              </w:rPr>
              <w:fldChar w:fldCharType="begin"/>
            </w:r>
            <w:r>
              <w:rPr>
                <w:noProof/>
                <w:webHidden/>
              </w:rPr>
              <w:instrText xml:space="preserve"> PAGEREF _Toc169876070 \h </w:instrText>
            </w:r>
            <w:r>
              <w:rPr>
                <w:noProof/>
                <w:webHidden/>
              </w:rPr>
            </w:r>
            <w:r>
              <w:rPr>
                <w:noProof/>
                <w:webHidden/>
              </w:rPr>
              <w:fldChar w:fldCharType="separate"/>
            </w:r>
            <w:r w:rsidR="00056CF0">
              <w:rPr>
                <w:noProof/>
                <w:webHidden/>
              </w:rPr>
              <w:t>36</w:t>
            </w:r>
            <w:r>
              <w:rPr>
                <w:noProof/>
                <w:webHidden/>
              </w:rPr>
              <w:fldChar w:fldCharType="end"/>
            </w:r>
          </w:hyperlink>
        </w:p>
        <w:p w14:paraId="2C23CFAA" w14:textId="759D525D" w:rsidR="00CD3467" w:rsidRDefault="00CD3467">
          <w:pPr>
            <w:pStyle w:val="TOC1"/>
            <w:tabs>
              <w:tab w:val="right" w:leader="dot" w:pos="8296"/>
            </w:tabs>
            <w:rPr>
              <w:rFonts w:asciiTheme="minorHAnsi" w:eastAsiaTheme="minorEastAsia" w:hAnsiTheme="minorHAnsi"/>
              <w:noProof/>
              <w:sz w:val="22"/>
              <w:szCs w:val="24"/>
              <w14:ligatures w14:val="standardContextual"/>
            </w:rPr>
          </w:pPr>
          <w:hyperlink w:anchor="_Toc169876071" w:history="1">
            <w:r w:rsidRPr="00B115A9">
              <w:rPr>
                <w:rStyle w:val="af"/>
                <w:noProof/>
              </w:rPr>
              <w:t>十三、</w:t>
            </w:r>
            <w:r w:rsidRPr="00B115A9">
              <w:rPr>
                <w:rStyle w:val="af"/>
                <w:noProof/>
              </w:rPr>
              <w:t xml:space="preserve"> </w:t>
            </w:r>
            <w:r w:rsidRPr="00B115A9">
              <w:rPr>
                <w:rStyle w:val="af"/>
                <w:noProof/>
              </w:rPr>
              <w:t>贯彻实施标准的要求、措施等建议</w:t>
            </w:r>
            <w:r>
              <w:rPr>
                <w:noProof/>
                <w:webHidden/>
              </w:rPr>
              <w:tab/>
            </w:r>
            <w:r>
              <w:rPr>
                <w:noProof/>
                <w:webHidden/>
              </w:rPr>
              <w:fldChar w:fldCharType="begin"/>
            </w:r>
            <w:r>
              <w:rPr>
                <w:noProof/>
                <w:webHidden/>
              </w:rPr>
              <w:instrText xml:space="preserve"> PAGEREF _Toc169876071 \h </w:instrText>
            </w:r>
            <w:r>
              <w:rPr>
                <w:noProof/>
                <w:webHidden/>
              </w:rPr>
            </w:r>
            <w:r>
              <w:rPr>
                <w:noProof/>
                <w:webHidden/>
              </w:rPr>
              <w:fldChar w:fldCharType="separate"/>
            </w:r>
            <w:r w:rsidR="00056CF0">
              <w:rPr>
                <w:noProof/>
                <w:webHidden/>
              </w:rPr>
              <w:t>36</w:t>
            </w:r>
            <w:r>
              <w:rPr>
                <w:noProof/>
                <w:webHidden/>
              </w:rPr>
              <w:fldChar w:fldCharType="end"/>
            </w:r>
          </w:hyperlink>
        </w:p>
        <w:p w14:paraId="74E26EEB" w14:textId="1BF5B9BB" w:rsidR="00CD3467" w:rsidRDefault="00CD3467">
          <w:pPr>
            <w:pStyle w:val="TOC1"/>
            <w:tabs>
              <w:tab w:val="right" w:leader="dot" w:pos="8296"/>
            </w:tabs>
            <w:rPr>
              <w:rFonts w:asciiTheme="minorHAnsi" w:eastAsiaTheme="minorEastAsia" w:hAnsiTheme="minorHAnsi"/>
              <w:noProof/>
              <w:sz w:val="22"/>
              <w:szCs w:val="24"/>
              <w14:ligatures w14:val="standardContextual"/>
            </w:rPr>
          </w:pPr>
          <w:hyperlink w:anchor="_Toc169876072" w:history="1">
            <w:r w:rsidRPr="00B115A9">
              <w:rPr>
                <w:rStyle w:val="af"/>
                <w:noProof/>
              </w:rPr>
              <w:t>十四、</w:t>
            </w:r>
            <w:r w:rsidRPr="00B115A9">
              <w:rPr>
                <w:rStyle w:val="af"/>
                <w:noProof/>
              </w:rPr>
              <w:t xml:space="preserve"> </w:t>
            </w:r>
            <w:r w:rsidRPr="00B115A9">
              <w:rPr>
                <w:rStyle w:val="af"/>
                <w:noProof/>
              </w:rPr>
              <w:t>其他应当说明的事项</w:t>
            </w:r>
            <w:r>
              <w:rPr>
                <w:noProof/>
                <w:webHidden/>
              </w:rPr>
              <w:tab/>
            </w:r>
            <w:r>
              <w:rPr>
                <w:noProof/>
                <w:webHidden/>
              </w:rPr>
              <w:fldChar w:fldCharType="begin"/>
            </w:r>
            <w:r>
              <w:rPr>
                <w:noProof/>
                <w:webHidden/>
              </w:rPr>
              <w:instrText xml:space="preserve"> PAGEREF _Toc169876072 \h </w:instrText>
            </w:r>
            <w:r>
              <w:rPr>
                <w:noProof/>
                <w:webHidden/>
              </w:rPr>
            </w:r>
            <w:r>
              <w:rPr>
                <w:noProof/>
                <w:webHidden/>
              </w:rPr>
              <w:fldChar w:fldCharType="separate"/>
            </w:r>
            <w:r w:rsidR="00056CF0">
              <w:rPr>
                <w:noProof/>
                <w:webHidden/>
              </w:rPr>
              <w:t>36</w:t>
            </w:r>
            <w:r>
              <w:rPr>
                <w:noProof/>
                <w:webHidden/>
              </w:rPr>
              <w:fldChar w:fldCharType="end"/>
            </w:r>
          </w:hyperlink>
        </w:p>
        <w:p w14:paraId="2C6555EC" w14:textId="2DC6161F" w:rsidR="00FD6984" w:rsidRDefault="00000000">
          <w:pPr>
            <w:sectPr w:rsidR="00FD6984">
              <w:footerReference w:type="default" r:id="rId12"/>
              <w:pgSz w:w="11906" w:h="16838"/>
              <w:pgMar w:top="1440" w:right="1800" w:bottom="1440" w:left="1800" w:header="851" w:footer="992" w:gutter="0"/>
              <w:pgNumType w:fmt="upperRoman" w:start="1"/>
              <w:cols w:space="425"/>
              <w:docGrid w:type="lines" w:linePitch="312"/>
            </w:sectPr>
          </w:pPr>
          <w:r>
            <w:rPr>
              <w:b/>
              <w:bCs/>
              <w:lang w:val="zh-CN"/>
            </w:rPr>
            <w:fldChar w:fldCharType="end"/>
          </w:r>
        </w:p>
      </w:sdtContent>
    </w:sdt>
    <w:p w14:paraId="469E1B92" w14:textId="77777777" w:rsidR="00FD6984" w:rsidRDefault="00000000">
      <w:pPr>
        <w:pStyle w:val="1"/>
      </w:pPr>
      <w:bookmarkStart w:id="0" w:name="_Toc169876037"/>
      <w:r>
        <w:rPr>
          <w:rFonts w:hint="eastAsia"/>
        </w:rPr>
        <w:lastRenderedPageBreak/>
        <w:t>项目来源</w:t>
      </w:r>
      <w:bookmarkEnd w:id="0"/>
    </w:p>
    <w:p w14:paraId="3A948BE7" w14:textId="77777777" w:rsidR="00FD6984" w:rsidRDefault="00000000">
      <w:pPr>
        <w:ind w:firstLineChars="200" w:firstLine="480"/>
      </w:pPr>
      <w:r>
        <w:rPr>
          <w:rFonts w:hint="eastAsia"/>
        </w:rPr>
        <w:t>根据广东省市场监督管理局关于批准下达</w:t>
      </w:r>
      <w:r>
        <w:rPr>
          <w:rFonts w:hint="eastAsia"/>
        </w:rPr>
        <w:t>2</w:t>
      </w:r>
      <w:r>
        <w:t>023</w:t>
      </w:r>
      <w:r>
        <w:rPr>
          <w:rFonts w:hint="eastAsia"/>
        </w:rPr>
        <w:t>年第一批广东省地方标准制修订计划的通知（</w:t>
      </w:r>
      <w:proofErr w:type="gramStart"/>
      <w:r>
        <w:rPr>
          <w:rFonts w:hint="eastAsia"/>
        </w:rPr>
        <w:t>粤市监标准</w:t>
      </w:r>
      <w:proofErr w:type="gramEnd"/>
      <w:r>
        <w:rPr>
          <w:rFonts w:hint="eastAsia"/>
        </w:rPr>
        <w:t>〔</w:t>
      </w:r>
      <w:r>
        <w:rPr>
          <w:rFonts w:hint="eastAsia"/>
        </w:rPr>
        <w:t>2</w:t>
      </w:r>
      <w:r>
        <w:t>023</w:t>
      </w:r>
      <w:r>
        <w:rPr>
          <w:rFonts w:hint="eastAsia"/>
        </w:rPr>
        <w:t>〕</w:t>
      </w:r>
      <w:r>
        <w:rPr>
          <w:rFonts w:hint="eastAsia"/>
        </w:rPr>
        <w:t>2</w:t>
      </w:r>
      <w:r>
        <w:t>11</w:t>
      </w:r>
      <w:r>
        <w:rPr>
          <w:rFonts w:hint="eastAsia"/>
        </w:rPr>
        <w:t>号），《高速公路运营期移动源碳排放核算标准》由广东省交通运输厅提出，广东省交通运输标准化技术委员会（</w:t>
      </w:r>
      <w:r>
        <w:rPr>
          <w:rFonts w:hint="eastAsia"/>
        </w:rPr>
        <w:t>GD</w:t>
      </w:r>
      <w:r>
        <w:t>/TC 133</w:t>
      </w:r>
      <w:r>
        <w:rPr>
          <w:rFonts w:hint="eastAsia"/>
        </w:rPr>
        <w:t>）归口。</w:t>
      </w:r>
    </w:p>
    <w:p w14:paraId="6FC7EAEA" w14:textId="77777777" w:rsidR="00FD6984" w:rsidRDefault="00000000">
      <w:pPr>
        <w:ind w:firstLine="420"/>
      </w:pPr>
      <w:r>
        <w:rPr>
          <w:rFonts w:hint="eastAsia"/>
        </w:rPr>
        <w:t>本文件参编单位一共有五家，分别是广东省交通运输厅、广东省交通规划设计研究院集团股份有限公司、广东省交通运输规划研究中心、华南理工大学、广东联合电子服务股份有限公司。参编单位在标准制定、科研管理及工程咨询等领域具有丰富的经验和卓越的成绩。</w:t>
      </w:r>
    </w:p>
    <w:p w14:paraId="638C1694" w14:textId="77777777" w:rsidR="00FD6984" w:rsidRDefault="00000000">
      <w:pPr>
        <w:ind w:firstLine="420"/>
      </w:pPr>
      <w:r>
        <w:rPr>
          <w:rFonts w:hint="eastAsia"/>
        </w:rPr>
        <w:t>（</w:t>
      </w:r>
      <w:r>
        <w:rPr>
          <w:rFonts w:hint="eastAsia"/>
        </w:rPr>
        <w:t>1</w:t>
      </w:r>
      <w:r>
        <w:rPr>
          <w:rFonts w:hint="eastAsia"/>
        </w:rPr>
        <w:t>）广东省交通运输</w:t>
      </w:r>
      <w:proofErr w:type="gramStart"/>
      <w:r>
        <w:rPr>
          <w:rFonts w:hint="eastAsia"/>
        </w:rPr>
        <w:t>厅公路</w:t>
      </w:r>
      <w:proofErr w:type="gramEnd"/>
      <w:r>
        <w:rPr>
          <w:rFonts w:hint="eastAsia"/>
        </w:rPr>
        <w:t>运营管理处</w:t>
      </w:r>
    </w:p>
    <w:p w14:paraId="104B2A79" w14:textId="77777777" w:rsidR="00FD6984" w:rsidRDefault="00000000">
      <w:pPr>
        <w:ind w:firstLine="420"/>
      </w:pPr>
      <w:r>
        <w:rPr>
          <w:rFonts w:hint="eastAsia"/>
        </w:rPr>
        <w:t>广东省交通运输</w:t>
      </w:r>
      <w:proofErr w:type="gramStart"/>
      <w:r>
        <w:rPr>
          <w:rFonts w:hint="eastAsia"/>
        </w:rPr>
        <w:t>厅公路</w:t>
      </w:r>
      <w:proofErr w:type="gramEnd"/>
      <w:r>
        <w:rPr>
          <w:rFonts w:hint="eastAsia"/>
        </w:rPr>
        <w:t>运营管理处为广东省交通运输</w:t>
      </w:r>
      <w:proofErr w:type="gramStart"/>
      <w:r>
        <w:rPr>
          <w:rFonts w:hint="eastAsia"/>
        </w:rPr>
        <w:t>厅业务</w:t>
      </w:r>
      <w:proofErr w:type="gramEnd"/>
      <w:r>
        <w:rPr>
          <w:rFonts w:hint="eastAsia"/>
        </w:rPr>
        <w:t>处室，组织拟订公路运营、服务有关政策和规章制度并监督实施，指导公路服务区等配套设施及服务工作。负责收费公路监督管理工作，承担公路收费站设置、车辆通行费标准审核及收费公路经营期满移交接管工作。负责收费公路统计工作。负责公路联网收费管理，指导电子不停车收费工作。负责全省公路路网运行协调统筹工作，组织拟订路网运行政策、标准和规范并监督实施。组织公路路网运行情况监测及相关信息数据分析、应用服务工作。</w:t>
      </w:r>
    </w:p>
    <w:p w14:paraId="2EA91D5A" w14:textId="77777777" w:rsidR="00FD6984" w:rsidRDefault="00000000">
      <w:pPr>
        <w:ind w:firstLine="420"/>
      </w:pPr>
      <w:r>
        <w:rPr>
          <w:rFonts w:hint="eastAsia"/>
        </w:rPr>
        <w:t>（</w:t>
      </w:r>
      <w:r>
        <w:rPr>
          <w:rFonts w:hint="eastAsia"/>
        </w:rPr>
        <w:t>2</w:t>
      </w:r>
      <w:r>
        <w:rPr>
          <w:rFonts w:hint="eastAsia"/>
        </w:rPr>
        <w:t>）广东省交通规划设计研究院集团股份有限公司</w:t>
      </w:r>
    </w:p>
    <w:p w14:paraId="28D7E4C8" w14:textId="77777777" w:rsidR="00FD6984" w:rsidRDefault="00000000">
      <w:pPr>
        <w:ind w:firstLine="420"/>
      </w:pPr>
      <w:r>
        <w:rPr>
          <w:rFonts w:hint="eastAsia"/>
        </w:rPr>
        <w:t>广东省交通规划设计研究院集团股份有限公司（以下简称“省交通院”）始建于</w:t>
      </w:r>
      <w:r>
        <w:rPr>
          <w:rFonts w:hint="eastAsia"/>
        </w:rPr>
        <w:t>1952</w:t>
      </w:r>
      <w:r>
        <w:rPr>
          <w:rFonts w:hint="eastAsia"/>
        </w:rPr>
        <w:t>年，主要从事公路行业、市政行业、建筑行业和风景园林的规划、咨询、勘察、设计、监理、检测监测、施工图审查和养护施工等业务。公司成立以来承担并完成了广东省大部分国省道、高速公路和一大批市政工程、建筑工程的勘察设计任务，以及一大批综合交通规划编制工作，先后荣获国际、国家及省（部）级优秀勘察、设计、测量、咨询以及科技进步等奖励</w:t>
      </w:r>
      <w:r>
        <w:rPr>
          <w:rFonts w:hint="eastAsia"/>
        </w:rPr>
        <w:t>500</w:t>
      </w:r>
      <w:r>
        <w:rPr>
          <w:rFonts w:hint="eastAsia"/>
        </w:rPr>
        <w:t>余项（次）。公司设置了国家博士后科研工作站、广东省工程技术研究中心、智慧交通创新与应用研究中心、交通大数据研究中心、广东省</w:t>
      </w:r>
      <w:proofErr w:type="gramStart"/>
      <w:r>
        <w:rPr>
          <w:rFonts w:hint="eastAsia"/>
        </w:rPr>
        <w:t>及环粤地区</w:t>
      </w:r>
      <w:proofErr w:type="gramEnd"/>
      <w:r>
        <w:rPr>
          <w:rFonts w:hint="eastAsia"/>
        </w:rPr>
        <w:t>交通规划与仿真实验室、数字化技术研究院等科研创新平台，具有较强的创新研究能力。</w:t>
      </w:r>
    </w:p>
    <w:p w14:paraId="7D709363" w14:textId="77777777" w:rsidR="00FD6984" w:rsidRDefault="00000000">
      <w:pPr>
        <w:ind w:firstLineChars="200" w:firstLine="480"/>
      </w:pPr>
      <w:r>
        <w:rPr>
          <w:rFonts w:hint="eastAsia"/>
        </w:rPr>
        <w:t>近年来，省交通</w:t>
      </w:r>
      <w:proofErr w:type="gramStart"/>
      <w:r>
        <w:rPr>
          <w:rFonts w:hint="eastAsia"/>
        </w:rPr>
        <w:t>院参与</w:t>
      </w:r>
      <w:proofErr w:type="gramEnd"/>
      <w:r>
        <w:rPr>
          <w:rFonts w:hint="eastAsia"/>
        </w:rPr>
        <w:t>编制了《绿色公路建设技术标准》、《广东省公路工程绿色生态排水系统设计指南》、《广东省普通干线公路设计标准化指南》、《广</w:t>
      </w:r>
      <w:r>
        <w:rPr>
          <w:rFonts w:hint="eastAsia"/>
        </w:rPr>
        <w:lastRenderedPageBreak/>
        <w:t>东省智慧高速公路建设指南》等</w:t>
      </w:r>
      <w:r>
        <w:rPr>
          <w:rFonts w:hint="eastAsia"/>
        </w:rPr>
        <w:t>100</w:t>
      </w:r>
      <w:r>
        <w:rPr>
          <w:rFonts w:hint="eastAsia"/>
        </w:rPr>
        <w:t>余项标准指南的编制，对高速公路及绿色低碳领域具有丰富的研究经验。</w:t>
      </w:r>
    </w:p>
    <w:p w14:paraId="62D328C9" w14:textId="77777777" w:rsidR="00FD6984" w:rsidRDefault="00000000">
      <w:pPr>
        <w:ind w:firstLine="420"/>
      </w:pPr>
      <w:r>
        <w:rPr>
          <w:rFonts w:hint="eastAsia"/>
        </w:rPr>
        <w:t>（</w:t>
      </w:r>
      <w:r>
        <w:rPr>
          <w:rFonts w:hint="eastAsia"/>
        </w:rPr>
        <w:t>3</w:t>
      </w:r>
      <w:r>
        <w:rPr>
          <w:rFonts w:hint="eastAsia"/>
        </w:rPr>
        <w:t>）广东省交通运输规划研究中心</w:t>
      </w:r>
    </w:p>
    <w:p w14:paraId="59D08F8B" w14:textId="77777777" w:rsidR="00FD6984" w:rsidRDefault="00000000">
      <w:pPr>
        <w:ind w:firstLine="420"/>
      </w:pPr>
      <w:r>
        <w:rPr>
          <w:rFonts w:hint="eastAsia"/>
        </w:rPr>
        <w:t>广东省交通运输规划研究中心（以下简称“规划中心”）成立于</w:t>
      </w:r>
      <w:r>
        <w:rPr>
          <w:rFonts w:hint="eastAsia"/>
        </w:rPr>
        <w:t>2000</w:t>
      </w:r>
      <w:r>
        <w:rPr>
          <w:rFonts w:hint="eastAsia"/>
        </w:rPr>
        <w:t>年</w:t>
      </w:r>
      <w:r>
        <w:rPr>
          <w:rFonts w:hint="eastAsia"/>
        </w:rPr>
        <w:t>9</w:t>
      </w:r>
      <w:r>
        <w:rPr>
          <w:rFonts w:hint="eastAsia"/>
        </w:rPr>
        <w:t>月，通过工程咨询甲级资信评价，是广东省交通运输厅直属事业单位，业务聚焦于广东交通运输规划、工程咨询和行业政策法规研究。自成立以来，规划中心承担了约</w:t>
      </w:r>
      <w:r>
        <w:rPr>
          <w:rFonts w:hint="eastAsia"/>
        </w:rPr>
        <w:t>200</w:t>
      </w:r>
      <w:r>
        <w:rPr>
          <w:rFonts w:hint="eastAsia"/>
        </w:rPr>
        <w:t>项规划研究课题，完成了超过</w:t>
      </w:r>
      <w:r>
        <w:rPr>
          <w:rFonts w:hint="eastAsia"/>
        </w:rPr>
        <w:t>6000</w:t>
      </w:r>
      <w:r>
        <w:rPr>
          <w:rFonts w:hint="eastAsia"/>
        </w:rPr>
        <w:t>公里高速公路和</w:t>
      </w:r>
      <w:r>
        <w:rPr>
          <w:rFonts w:hint="eastAsia"/>
        </w:rPr>
        <w:t>400</w:t>
      </w:r>
      <w:r>
        <w:rPr>
          <w:rFonts w:hint="eastAsia"/>
        </w:rPr>
        <w:t>余项港口、航道的技术咨询，在综合交通运输规划、工程设计咨询、行业管理与政策法规研究方面积累了丰富的经验，形成了一批高质量的服务成果，多项研究成果分获国家及省级科学技术奖、优秀工程咨询奖。</w:t>
      </w:r>
    </w:p>
    <w:p w14:paraId="311FB03F" w14:textId="77777777" w:rsidR="00FD6984" w:rsidRDefault="00000000">
      <w:pPr>
        <w:ind w:firstLine="420"/>
      </w:pPr>
      <w:r>
        <w:rPr>
          <w:rFonts w:hint="eastAsia"/>
        </w:rPr>
        <w:t>规划中心在绿色低碳交通方面承担了多项全省绿色交通发展的相关省级规划和战略研究，全面协助省交通运输厅开展绿色交通建设工作，制定相关政策制度，提供技术支撑服务；承担了多交通运输相关专业领域（包括公路、航道、港口、站场等）的绿色建设、污染防治、能耗监管等研究、标准规范编制及评价咨询项目</w:t>
      </w:r>
      <w:r>
        <w:rPr>
          <w:rFonts w:hint="eastAsia"/>
        </w:rPr>
        <w:t>70</w:t>
      </w:r>
      <w:r>
        <w:rPr>
          <w:rFonts w:hint="eastAsia"/>
        </w:rPr>
        <w:t>余项。其中，近</w:t>
      </w:r>
      <w:r>
        <w:rPr>
          <w:rFonts w:hint="eastAsia"/>
        </w:rPr>
        <w:t>3</w:t>
      </w:r>
      <w:r>
        <w:rPr>
          <w:rFonts w:hint="eastAsia"/>
        </w:rPr>
        <w:t>年来承担交通运输低碳</w:t>
      </w:r>
      <w:proofErr w:type="gramStart"/>
      <w:r>
        <w:rPr>
          <w:rFonts w:hint="eastAsia"/>
        </w:rPr>
        <w:t>及碳达</w:t>
      </w:r>
      <w:proofErr w:type="gramEnd"/>
      <w:r>
        <w:rPr>
          <w:rFonts w:hint="eastAsia"/>
        </w:rPr>
        <w:t>峰等相关课题近</w:t>
      </w:r>
      <w:r>
        <w:rPr>
          <w:rFonts w:hint="eastAsia"/>
        </w:rPr>
        <w:t>10</w:t>
      </w:r>
      <w:r>
        <w:rPr>
          <w:rFonts w:hint="eastAsia"/>
        </w:rPr>
        <w:t>项。</w:t>
      </w:r>
    </w:p>
    <w:p w14:paraId="27B9382E" w14:textId="77777777" w:rsidR="00FD6984" w:rsidRDefault="00000000">
      <w:pPr>
        <w:ind w:firstLine="420"/>
      </w:pPr>
      <w:r>
        <w:rPr>
          <w:rFonts w:hint="eastAsia"/>
        </w:rPr>
        <w:t>（</w:t>
      </w:r>
      <w:r>
        <w:t>4</w:t>
      </w:r>
      <w:r>
        <w:rPr>
          <w:rFonts w:hint="eastAsia"/>
        </w:rPr>
        <w:t>）华南理工大学</w:t>
      </w:r>
    </w:p>
    <w:p w14:paraId="07AD07A5" w14:textId="77777777" w:rsidR="00FD6984" w:rsidRDefault="00000000">
      <w:pPr>
        <w:ind w:firstLine="420"/>
      </w:pPr>
      <w:r>
        <w:rPr>
          <w:rFonts w:hint="eastAsia"/>
        </w:rPr>
        <w:t>华南理工大学是直属教育部的全国重点大学，为新中国“四大工学院”之一；</w:t>
      </w:r>
      <w:r>
        <w:rPr>
          <w:rFonts w:hint="eastAsia"/>
        </w:rPr>
        <w:t>1981</w:t>
      </w:r>
      <w:r>
        <w:rPr>
          <w:rFonts w:hint="eastAsia"/>
        </w:rPr>
        <w:t>年经国务院批准为首批博士和硕士学位授予单位；</w:t>
      </w:r>
      <w:r>
        <w:rPr>
          <w:rFonts w:hint="eastAsia"/>
        </w:rPr>
        <w:t xml:space="preserve"> 1995</w:t>
      </w:r>
      <w:r>
        <w:rPr>
          <w:rFonts w:hint="eastAsia"/>
        </w:rPr>
        <w:t>年进入“</w:t>
      </w:r>
      <w:r>
        <w:rPr>
          <w:rFonts w:hint="eastAsia"/>
        </w:rPr>
        <w:t>211</w:t>
      </w:r>
      <w:r>
        <w:rPr>
          <w:rFonts w:hint="eastAsia"/>
        </w:rPr>
        <w:t>工程”行列；</w:t>
      </w:r>
      <w:r>
        <w:rPr>
          <w:rFonts w:hint="eastAsia"/>
        </w:rPr>
        <w:t>2001</w:t>
      </w:r>
      <w:r>
        <w:rPr>
          <w:rFonts w:hint="eastAsia"/>
        </w:rPr>
        <w:t>年进入“</w:t>
      </w:r>
      <w:r>
        <w:rPr>
          <w:rFonts w:hint="eastAsia"/>
        </w:rPr>
        <w:t>985</w:t>
      </w:r>
      <w:r>
        <w:rPr>
          <w:rFonts w:hint="eastAsia"/>
        </w:rPr>
        <w:t>工程”行列；</w:t>
      </w:r>
      <w:r>
        <w:rPr>
          <w:rFonts w:hint="eastAsia"/>
        </w:rPr>
        <w:t>2017</w:t>
      </w:r>
      <w:r>
        <w:rPr>
          <w:rFonts w:hint="eastAsia"/>
        </w:rPr>
        <w:t>年进入“双一流”建设</w:t>
      </w:r>
      <w:r>
        <w:rPr>
          <w:rFonts w:hint="eastAsia"/>
        </w:rPr>
        <w:t>A</w:t>
      </w:r>
      <w:r>
        <w:rPr>
          <w:rFonts w:hint="eastAsia"/>
        </w:rPr>
        <w:t>类高校行列，</w:t>
      </w:r>
      <w:r>
        <w:rPr>
          <w:rFonts w:hint="eastAsia"/>
        </w:rPr>
        <w:t>2020</w:t>
      </w:r>
      <w:r>
        <w:rPr>
          <w:rFonts w:hint="eastAsia"/>
        </w:rPr>
        <w:t>年进入上海软科“世界大学学术排名”前</w:t>
      </w:r>
      <w:r>
        <w:rPr>
          <w:rFonts w:hint="eastAsia"/>
        </w:rPr>
        <w:t>200</w:t>
      </w:r>
      <w:r>
        <w:rPr>
          <w:rFonts w:hint="eastAsia"/>
        </w:rPr>
        <w:t>强。学校有</w:t>
      </w:r>
      <w:r>
        <w:rPr>
          <w:rFonts w:hint="eastAsia"/>
        </w:rPr>
        <w:t>12</w:t>
      </w:r>
      <w:r>
        <w:rPr>
          <w:rFonts w:hint="eastAsia"/>
        </w:rPr>
        <w:t>个学科领域进入</w:t>
      </w:r>
      <w:r>
        <w:rPr>
          <w:rFonts w:hint="eastAsia"/>
        </w:rPr>
        <w:t>ESI</w:t>
      </w:r>
      <w:r>
        <w:rPr>
          <w:rFonts w:hint="eastAsia"/>
        </w:rPr>
        <w:t>全球排名前</w:t>
      </w:r>
      <w:r>
        <w:rPr>
          <w:rFonts w:hint="eastAsia"/>
        </w:rPr>
        <w:t>1%</w:t>
      </w:r>
      <w:r>
        <w:rPr>
          <w:rFonts w:hint="eastAsia"/>
        </w:rPr>
        <w:t>。学校以雄厚的原始科研创新能力推动一流大学建设，建有</w:t>
      </w:r>
      <w:r>
        <w:rPr>
          <w:rFonts w:hint="eastAsia"/>
        </w:rPr>
        <w:t>28</w:t>
      </w:r>
      <w:r>
        <w:rPr>
          <w:rFonts w:hint="eastAsia"/>
        </w:rPr>
        <w:t>个国家级科研平台、</w:t>
      </w:r>
      <w:r>
        <w:rPr>
          <w:rFonts w:hint="eastAsia"/>
        </w:rPr>
        <w:t>217</w:t>
      </w:r>
      <w:r>
        <w:rPr>
          <w:rFonts w:hint="eastAsia"/>
        </w:rPr>
        <w:t>个部省级科研平台，数量位居全国高校前列、广东高校首位。</w:t>
      </w:r>
    </w:p>
    <w:p w14:paraId="140AEAA2" w14:textId="77777777" w:rsidR="00FD6984" w:rsidRDefault="00000000">
      <w:pPr>
        <w:ind w:firstLine="420"/>
      </w:pPr>
      <w:r>
        <w:rPr>
          <w:rFonts w:hint="eastAsia"/>
        </w:rPr>
        <w:t>华南理工大学在绿色低碳交通方面承担了多项国家和广东省的课题，包括“基于大数据的智慧交通基础理论与关键技术”、“广东省公路网车辆能耗与排放统计分析技术和应用研究”</w:t>
      </w:r>
      <w:r>
        <w:rPr>
          <w:rFonts w:hint="eastAsia"/>
        </w:rPr>
        <w:t xml:space="preserve"> </w:t>
      </w:r>
      <w:r>
        <w:rPr>
          <w:rFonts w:hint="eastAsia"/>
        </w:rPr>
        <w:t>和“广州市绿色货运配送示范工程实施情况分析”等；发表交通流模型、交通数据分析、碳排放测算相关论文</w:t>
      </w:r>
      <w:r>
        <w:rPr>
          <w:rFonts w:hint="eastAsia"/>
        </w:rPr>
        <w:t>100</w:t>
      </w:r>
      <w:r>
        <w:rPr>
          <w:rFonts w:hint="eastAsia"/>
        </w:rPr>
        <w:t>余篇。</w:t>
      </w:r>
    </w:p>
    <w:p w14:paraId="01D80A58" w14:textId="77777777" w:rsidR="00FD6984" w:rsidRDefault="00000000">
      <w:pPr>
        <w:ind w:firstLine="420"/>
      </w:pPr>
      <w:r>
        <w:rPr>
          <w:rFonts w:hint="eastAsia"/>
        </w:rPr>
        <w:t>（</w:t>
      </w:r>
      <w:r>
        <w:t>5</w:t>
      </w:r>
      <w:r>
        <w:rPr>
          <w:rFonts w:hint="eastAsia"/>
        </w:rPr>
        <w:t>）广东联合电子服务股份有限公司</w:t>
      </w:r>
    </w:p>
    <w:p w14:paraId="58117C01" w14:textId="77777777" w:rsidR="00FD6984" w:rsidRDefault="00000000">
      <w:pPr>
        <w:ind w:firstLine="420"/>
      </w:pPr>
      <w:r>
        <w:rPr>
          <w:rFonts w:hint="eastAsia"/>
        </w:rPr>
        <w:lastRenderedPageBreak/>
        <w:t>广东联合电子服务股份有限公司（以下简称“联合电服公司”）：经省政府批准于</w:t>
      </w:r>
      <w:r>
        <w:rPr>
          <w:rFonts w:hint="eastAsia"/>
        </w:rPr>
        <w:t>2002</w:t>
      </w:r>
      <w:r>
        <w:rPr>
          <w:rFonts w:hint="eastAsia"/>
        </w:rPr>
        <w:t>年</w:t>
      </w:r>
      <w:r>
        <w:rPr>
          <w:rFonts w:hint="eastAsia"/>
        </w:rPr>
        <w:t>7</w:t>
      </w:r>
      <w:r>
        <w:rPr>
          <w:rFonts w:hint="eastAsia"/>
        </w:rPr>
        <w:t>月成立，负责实施广东省公路联网收费和推广粤通卡电子不停车收费（</w:t>
      </w:r>
      <w:r>
        <w:rPr>
          <w:rFonts w:hint="eastAsia"/>
        </w:rPr>
        <w:t>ETC</w:t>
      </w:r>
      <w:r>
        <w:rPr>
          <w:rFonts w:hint="eastAsia"/>
        </w:rPr>
        <w:t>）工作。公司注册资本</w:t>
      </w:r>
      <w:r>
        <w:rPr>
          <w:rFonts w:hint="eastAsia"/>
        </w:rPr>
        <w:t>3.92</w:t>
      </w:r>
      <w:r>
        <w:rPr>
          <w:rFonts w:hint="eastAsia"/>
        </w:rPr>
        <w:t>亿元，为广东省交通集团直属企业。</w:t>
      </w:r>
      <w:proofErr w:type="gramStart"/>
      <w:r>
        <w:rPr>
          <w:rFonts w:hint="eastAsia"/>
        </w:rPr>
        <w:t>联合电服公司</w:t>
      </w:r>
      <w:proofErr w:type="gramEnd"/>
      <w:r>
        <w:rPr>
          <w:rFonts w:hint="eastAsia"/>
        </w:rPr>
        <w:t>秉承“服务、创新、高效”的企业理念，紧紧围绕“省联网中心、省通信中心、省视频云联网中心以及省交通集团数据中心、客服中心”的战略定位，研究</w:t>
      </w:r>
      <w:proofErr w:type="gramStart"/>
      <w:r>
        <w:rPr>
          <w:rFonts w:hint="eastAsia"/>
        </w:rPr>
        <w:t>融合省</w:t>
      </w:r>
      <w:proofErr w:type="gramEnd"/>
      <w:r>
        <w:rPr>
          <w:rFonts w:hint="eastAsia"/>
        </w:rPr>
        <w:t>交通集团智慧交通领域相关资源，以公路联网收费业务为基础，以“车联网</w:t>
      </w:r>
      <w:r>
        <w:rPr>
          <w:rFonts w:hint="eastAsia"/>
        </w:rPr>
        <w:t>+</w:t>
      </w:r>
      <w:r>
        <w:rPr>
          <w:rFonts w:hint="eastAsia"/>
        </w:rPr>
        <w:t>互联网”为核心，拓展汽车后服务市场、建设大数据中心和</w:t>
      </w:r>
      <w:proofErr w:type="gramStart"/>
      <w:r>
        <w:rPr>
          <w:rFonts w:hint="eastAsia"/>
        </w:rPr>
        <w:t>云支付</w:t>
      </w:r>
      <w:proofErr w:type="gramEnd"/>
      <w:r>
        <w:rPr>
          <w:rFonts w:hint="eastAsia"/>
        </w:rPr>
        <w:t>中心，推动公司从智慧收费向智慧高速、智慧交通、智慧城市发展；充分发挥类金融资源优势，加强资本运作，做</w:t>
      </w:r>
      <w:proofErr w:type="gramStart"/>
      <w:r>
        <w:rPr>
          <w:rFonts w:hint="eastAsia"/>
        </w:rPr>
        <w:t>强做</w:t>
      </w:r>
      <w:proofErr w:type="gramEnd"/>
      <w:r>
        <w:rPr>
          <w:rFonts w:hint="eastAsia"/>
        </w:rPr>
        <w:t>优做大集团智慧交通板块。</w:t>
      </w:r>
    </w:p>
    <w:p w14:paraId="31CF0862" w14:textId="77777777" w:rsidR="00FD6984" w:rsidRDefault="00000000">
      <w:pPr>
        <w:pStyle w:val="1"/>
      </w:pPr>
      <w:bookmarkStart w:id="1" w:name="_Toc169876038"/>
      <w:r>
        <w:rPr>
          <w:rFonts w:hint="eastAsia"/>
        </w:rPr>
        <w:t>标准编制背景、目的及意义</w:t>
      </w:r>
      <w:bookmarkEnd w:id="1"/>
    </w:p>
    <w:p w14:paraId="6E817629" w14:textId="77777777" w:rsidR="00FD6984" w:rsidRDefault="00000000">
      <w:pPr>
        <w:spacing w:beforeLines="50" w:before="156" w:afterLines="50" w:after="156"/>
        <w:ind w:firstLineChars="200" w:firstLine="482"/>
        <w:rPr>
          <w:b/>
          <w:bCs/>
        </w:rPr>
      </w:pPr>
      <w:r>
        <w:rPr>
          <w:rFonts w:hint="eastAsia"/>
          <w:b/>
          <w:bCs/>
        </w:rPr>
        <w:t>（</w:t>
      </w:r>
      <w:r>
        <w:rPr>
          <w:rFonts w:hint="eastAsia"/>
          <w:b/>
          <w:bCs/>
        </w:rPr>
        <w:t>1</w:t>
      </w:r>
      <w:r>
        <w:rPr>
          <w:rFonts w:hint="eastAsia"/>
          <w:b/>
          <w:bCs/>
        </w:rPr>
        <w:t>）积极响应国家及广东省相关政策要求，为政府和行业主管部门开展低碳管理提供有力抓手</w:t>
      </w:r>
    </w:p>
    <w:p w14:paraId="779EE592" w14:textId="77777777" w:rsidR="00FD6984" w:rsidRDefault="00000000">
      <w:pPr>
        <w:ind w:firstLineChars="200" w:firstLine="480"/>
      </w:pPr>
      <w:r>
        <w:rPr>
          <w:rFonts w:hint="eastAsia"/>
        </w:rPr>
        <w:t>为如期实现国家“</w:t>
      </w:r>
      <w:r>
        <w:rPr>
          <w:rFonts w:hint="eastAsia"/>
        </w:rPr>
        <w:t>3</w:t>
      </w:r>
      <w:r>
        <w:t>060</w:t>
      </w:r>
      <w:r>
        <w:rPr>
          <w:rFonts w:hint="eastAsia"/>
        </w:rPr>
        <w:t>”</w:t>
      </w:r>
      <w:proofErr w:type="gramStart"/>
      <w:r>
        <w:rPr>
          <w:rFonts w:hint="eastAsia"/>
        </w:rPr>
        <w:t>碳达峰碳</w:t>
      </w:r>
      <w:proofErr w:type="gramEnd"/>
      <w:r>
        <w:rPr>
          <w:rFonts w:hint="eastAsia"/>
        </w:rPr>
        <w:t>中和目标，国务院</w:t>
      </w:r>
      <w:r>
        <w:rPr>
          <w:rFonts w:hint="eastAsia"/>
        </w:rPr>
        <w:t>2021</w:t>
      </w:r>
      <w:r>
        <w:rPr>
          <w:rFonts w:hint="eastAsia"/>
        </w:rPr>
        <w:t>年发布了《</w:t>
      </w:r>
      <w:r>
        <w:rPr>
          <w:rFonts w:hint="eastAsia"/>
        </w:rPr>
        <w:t>2030</w:t>
      </w:r>
      <w:r>
        <w:rPr>
          <w:rFonts w:hint="eastAsia"/>
        </w:rPr>
        <w:t>年前碳达峰行动方案》（国发〔</w:t>
      </w:r>
      <w:r>
        <w:rPr>
          <w:rFonts w:hint="eastAsia"/>
        </w:rPr>
        <w:t>2021</w:t>
      </w:r>
      <w:r>
        <w:rPr>
          <w:rFonts w:hint="eastAsia"/>
        </w:rPr>
        <w:t>〕</w:t>
      </w:r>
      <w:r>
        <w:rPr>
          <w:rFonts w:hint="eastAsia"/>
        </w:rPr>
        <w:t>23</w:t>
      </w:r>
      <w:r>
        <w:rPr>
          <w:rFonts w:hint="eastAsia"/>
        </w:rPr>
        <w:t>号）。</w:t>
      </w:r>
      <w:proofErr w:type="gramStart"/>
      <w:r>
        <w:rPr>
          <w:rFonts w:hint="eastAsia"/>
        </w:rPr>
        <w:t>碳达峰行动</w:t>
      </w:r>
      <w:proofErr w:type="gramEnd"/>
      <w:r>
        <w:rPr>
          <w:rFonts w:hint="eastAsia"/>
        </w:rPr>
        <w:t>方案中提出加强碳排放统计核算能力建设，深化核算方法研究，建立统一规范的碳排放统计核算体系。支持行业、企业依据自身特点开展碳排放核算方法学研究，建立健全碳排放计量体系。</w:t>
      </w:r>
      <w:r>
        <w:rPr>
          <w:rFonts w:hint="eastAsia"/>
        </w:rPr>
        <w:t>2021</w:t>
      </w:r>
      <w:r>
        <w:rPr>
          <w:rFonts w:hint="eastAsia"/>
        </w:rPr>
        <w:t>年</w:t>
      </w:r>
      <w:r>
        <w:rPr>
          <w:rFonts w:hint="eastAsia"/>
        </w:rPr>
        <w:t>12</w:t>
      </w:r>
      <w:r>
        <w:rPr>
          <w:rFonts w:hint="eastAsia"/>
        </w:rPr>
        <w:t>月国务院印发《“十四五”现代综合交通运输体系发展规划》（国发〔</w:t>
      </w:r>
      <w:r>
        <w:rPr>
          <w:rFonts w:hint="eastAsia"/>
        </w:rPr>
        <w:t>2021</w:t>
      </w:r>
      <w:r>
        <w:rPr>
          <w:rFonts w:hint="eastAsia"/>
        </w:rPr>
        <w:t>〕</w:t>
      </w:r>
      <w:r>
        <w:rPr>
          <w:rFonts w:hint="eastAsia"/>
        </w:rPr>
        <w:t>27</w:t>
      </w:r>
      <w:r>
        <w:rPr>
          <w:rFonts w:hint="eastAsia"/>
        </w:rPr>
        <w:t>号）明确要求研究制定交通运输领域碳排放统计方法和核算规则，加强碳排放基础统计核算，建立交通运输碳排放监测平台。</w:t>
      </w:r>
      <w:r>
        <w:rPr>
          <w:rFonts w:hint="eastAsia"/>
        </w:rPr>
        <w:t>2022</w:t>
      </w:r>
      <w:r>
        <w:rPr>
          <w:rFonts w:hint="eastAsia"/>
        </w:rPr>
        <w:t>年</w:t>
      </w:r>
      <w:r>
        <w:rPr>
          <w:rFonts w:hint="eastAsia"/>
        </w:rPr>
        <w:t>4</w:t>
      </w:r>
      <w:r>
        <w:rPr>
          <w:rFonts w:hint="eastAsia"/>
        </w:rPr>
        <w:t>月，国家发展改革委、国家统计局、生态环境部联合印发了《关于加快建立统一规范的碳排放统计核算体系实施方案》，其中进一步强调要求完善行业企业碳排放核算机制，建立覆盖全面、算法科学的行业碳排放核算方法体系。</w:t>
      </w:r>
    </w:p>
    <w:p w14:paraId="25DA1AC9" w14:textId="77777777" w:rsidR="00FD6984" w:rsidRDefault="00000000">
      <w:pPr>
        <w:ind w:firstLineChars="200" w:firstLine="480"/>
      </w:pPr>
      <w:r>
        <w:rPr>
          <w:rFonts w:hint="eastAsia"/>
        </w:rPr>
        <w:t>2020</w:t>
      </w:r>
      <w:r>
        <w:rPr>
          <w:rFonts w:hint="eastAsia"/>
        </w:rPr>
        <w:t>年</w:t>
      </w:r>
      <w:r>
        <w:rPr>
          <w:rFonts w:hint="eastAsia"/>
        </w:rPr>
        <w:t>6</w:t>
      </w:r>
      <w:r>
        <w:rPr>
          <w:rFonts w:hint="eastAsia"/>
        </w:rPr>
        <w:t>月，广东省交通运输厅发布《绿色交通三年行动计划</w:t>
      </w:r>
      <w:r>
        <w:rPr>
          <w:rFonts w:hint="eastAsia"/>
        </w:rPr>
        <w:t>2020</w:t>
      </w:r>
      <w:r>
        <w:rPr>
          <w:rFonts w:hint="eastAsia"/>
        </w:rPr>
        <w:t>年工作任务》，提出了推进绿色交通标准体系建设。广东省委、省政府积极贯彻响应</w:t>
      </w:r>
      <w:proofErr w:type="gramStart"/>
      <w:r>
        <w:rPr>
          <w:rFonts w:hint="eastAsia"/>
        </w:rPr>
        <w:t>国家双碳</w:t>
      </w:r>
      <w:proofErr w:type="gramEnd"/>
      <w:r>
        <w:rPr>
          <w:rFonts w:hint="eastAsia"/>
        </w:rPr>
        <w:t>战略部署和政策要求，于</w:t>
      </w:r>
      <w:r>
        <w:rPr>
          <w:rFonts w:hint="eastAsia"/>
        </w:rPr>
        <w:t>2022</w:t>
      </w:r>
      <w:r>
        <w:rPr>
          <w:rFonts w:hint="eastAsia"/>
        </w:rPr>
        <w:t>年</w:t>
      </w:r>
      <w:r>
        <w:rPr>
          <w:rFonts w:hint="eastAsia"/>
        </w:rPr>
        <w:t>7</w:t>
      </w:r>
      <w:r>
        <w:rPr>
          <w:rFonts w:hint="eastAsia"/>
        </w:rPr>
        <w:t>月发布《中共广东省委</w:t>
      </w:r>
      <w:r>
        <w:rPr>
          <w:rFonts w:hint="eastAsia"/>
        </w:rPr>
        <w:t xml:space="preserve"> </w:t>
      </w:r>
      <w:r>
        <w:rPr>
          <w:rFonts w:hint="eastAsia"/>
        </w:rPr>
        <w:t>广东省人民政府关于完整准确全面贯彻新发展理念推进碳达峰碳中和工作的实施意见》，其中指出加快</w:t>
      </w:r>
      <w:proofErr w:type="gramStart"/>
      <w:r>
        <w:rPr>
          <w:rFonts w:hint="eastAsia"/>
        </w:rPr>
        <w:t>构建碳达峰</w:t>
      </w:r>
      <w:proofErr w:type="gramEnd"/>
      <w:r>
        <w:rPr>
          <w:rFonts w:hint="eastAsia"/>
        </w:rPr>
        <w:t>、碳中和先进标准计量体系，研究制定重点行业和产品温室气体排放等地方标准。鼓励有关机构和企业参与国内国际相关标准制定。</w:t>
      </w:r>
      <w:r>
        <w:rPr>
          <w:rFonts w:hint="eastAsia"/>
        </w:rPr>
        <w:lastRenderedPageBreak/>
        <w:t>建立健全交通行业碳排放统计核算标准是实现交通运输领域</w:t>
      </w:r>
      <w:proofErr w:type="gramStart"/>
      <w:r>
        <w:rPr>
          <w:rFonts w:hint="eastAsia"/>
        </w:rPr>
        <w:t>碳达峰碳</w:t>
      </w:r>
      <w:proofErr w:type="gramEnd"/>
      <w:r>
        <w:rPr>
          <w:rFonts w:hint="eastAsia"/>
        </w:rPr>
        <w:t>中和目标的基础。</w:t>
      </w:r>
    </w:p>
    <w:p w14:paraId="3B425787" w14:textId="77777777" w:rsidR="00FD6984" w:rsidRDefault="00000000">
      <w:pPr>
        <w:ind w:firstLineChars="200" w:firstLine="480"/>
      </w:pPr>
      <w:r>
        <w:rPr>
          <w:rFonts w:hint="eastAsia"/>
        </w:rPr>
        <w:t>根据中国碳排放数据库</w:t>
      </w:r>
      <w:r>
        <w:rPr>
          <w:rFonts w:hint="eastAsia"/>
        </w:rPr>
        <w:t>CEADs</w:t>
      </w:r>
      <w:r>
        <w:rPr>
          <w:rFonts w:hint="eastAsia"/>
        </w:rPr>
        <w:t>统计数据，</w:t>
      </w:r>
      <w:r>
        <w:rPr>
          <w:rFonts w:hint="eastAsia"/>
        </w:rPr>
        <w:t>2019</w:t>
      </w:r>
      <w:r>
        <w:rPr>
          <w:rFonts w:hint="eastAsia"/>
        </w:rPr>
        <w:t>年广东省全行业碳排放达到</w:t>
      </w:r>
      <w:r>
        <w:rPr>
          <w:rFonts w:hint="eastAsia"/>
        </w:rPr>
        <w:t>585.8</w:t>
      </w:r>
      <w:proofErr w:type="gramStart"/>
      <w:r>
        <w:rPr>
          <w:rFonts w:hint="eastAsia"/>
        </w:rPr>
        <w:t>百万</w:t>
      </w:r>
      <w:proofErr w:type="gramEnd"/>
      <w:r>
        <w:rPr>
          <w:rFonts w:hint="eastAsia"/>
        </w:rPr>
        <w:t>吨，分部门核算碳排放清单中广东省交通运输、仓储、邮政业</w:t>
      </w:r>
      <w:proofErr w:type="gramStart"/>
      <w:r>
        <w:rPr>
          <w:rFonts w:hint="eastAsia"/>
        </w:rPr>
        <w:t>分类下碳排放量</w:t>
      </w:r>
      <w:proofErr w:type="gramEnd"/>
      <w:r>
        <w:rPr>
          <w:rFonts w:hint="eastAsia"/>
        </w:rPr>
        <w:t>为</w:t>
      </w:r>
      <w:r>
        <w:rPr>
          <w:rFonts w:hint="eastAsia"/>
        </w:rPr>
        <w:t>70.15</w:t>
      </w:r>
      <w:proofErr w:type="gramStart"/>
      <w:r>
        <w:rPr>
          <w:rFonts w:hint="eastAsia"/>
        </w:rPr>
        <w:t>百万</w:t>
      </w:r>
      <w:proofErr w:type="gramEnd"/>
      <w:r>
        <w:rPr>
          <w:rFonts w:hint="eastAsia"/>
        </w:rPr>
        <w:t>吨，碳排放占比达到</w:t>
      </w:r>
      <w:r>
        <w:rPr>
          <w:rFonts w:hint="eastAsia"/>
        </w:rPr>
        <w:t>12%</w:t>
      </w:r>
      <w:r>
        <w:rPr>
          <w:rFonts w:hint="eastAsia"/>
        </w:rPr>
        <w:t>。根据高速公路交通量数据进行测算，广东省高速公路交通全年排放量达到</w:t>
      </w:r>
      <w:r>
        <w:rPr>
          <w:rFonts w:hint="eastAsia"/>
        </w:rPr>
        <w:t>5.5</w:t>
      </w:r>
      <w:proofErr w:type="gramStart"/>
      <w:r>
        <w:rPr>
          <w:rFonts w:hint="eastAsia"/>
        </w:rPr>
        <w:t>百万</w:t>
      </w:r>
      <w:proofErr w:type="gramEnd"/>
      <w:r>
        <w:rPr>
          <w:rFonts w:hint="eastAsia"/>
        </w:rPr>
        <w:t>吨，占全省交通运输业（包括仓储、邮政）的</w:t>
      </w:r>
      <w:r>
        <w:rPr>
          <w:rFonts w:hint="eastAsia"/>
        </w:rPr>
        <w:t>7.8%</w:t>
      </w:r>
      <w:r>
        <w:rPr>
          <w:rFonts w:hint="eastAsia"/>
        </w:rPr>
        <w:t>。为了贯彻落实党中央“碳达峰、碳中和”战略部署，高速公路行业</w:t>
      </w:r>
      <w:proofErr w:type="gramStart"/>
      <w:r>
        <w:rPr>
          <w:rFonts w:hint="eastAsia"/>
        </w:rPr>
        <w:t>的碳减排</w:t>
      </w:r>
      <w:proofErr w:type="gramEnd"/>
      <w:r>
        <w:rPr>
          <w:rFonts w:hint="eastAsia"/>
        </w:rPr>
        <w:t>势在必行。但是至今尚缺乏专门的高速公路</w:t>
      </w:r>
      <w:proofErr w:type="gramStart"/>
      <w:r>
        <w:rPr>
          <w:rFonts w:hint="eastAsia"/>
        </w:rPr>
        <w:t>移动源碳排放</w:t>
      </w:r>
      <w:proofErr w:type="gramEnd"/>
      <w:r>
        <w:rPr>
          <w:rFonts w:hint="eastAsia"/>
        </w:rPr>
        <w:t>核算标准，相关的行业碳排放数据统计工作难以开展，高速公路运营管理企业的碳排放摸底工作缺乏方法学指导。研制并实施《高速公路运营期移动源碳排放核算标准》地方标准可为广东省高速公路主管部门落实节能减</w:t>
      </w:r>
      <w:proofErr w:type="gramStart"/>
      <w:r>
        <w:rPr>
          <w:rFonts w:hint="eastAsia"/>
        </w:rPr>
        <w:t>排工作</w:t>
      </w:r>
      <w:proofErr w:type="gramEnd"/>
      <w:r>
        <w:rPr>
          <w:rFonts w:hint="eastAsia"/>
        </w:rPr>
        <w:t>开展基础性的碳排放数据收集、为推动高速公路低碳管理工作提供抓手。</w:t>
      </w:r>
    </w:p>
    <w:p w14:paraId="7B24ACF5" w14:textId="77777777" w:rsidR="00FD6984" w:rsidRDefault="00000000">
      <w:pPr>
        <w:spacing w:beforeLines="50" w:before="156" w:afterLines="50" w:after="156"/>
        <w:ind w:firstLineChars="200" w:firstLine="482"/>
        <w:rPr>
          <w:b/>
          <w:bCs/>
        </w:rPr>
      </w:pPr>
      <w:r>
        <w:rPr>
          <w:rFonts w:hint="eastAsia"/>
          <w:b/>
          <w:bCs/>
        </w:rPr>
        <w:t>（</w:t>
      </w:r>
      <w:r>
        <w:rPr>
          <w:rFonts w:hint="eastAsia"/>
          <w:b/>
          <w:bCs/>
        </w:rPr>
        <w:t>2</w:t>
      </w:r>
      <w:r>
        <w:rPr>
          <w:rFonts w:hint="eastAsia"/>
          <w:b/>
          <w:bCs/>
        </w:rPr>
        <w:t>）通过量化高速公路运营期</w:t>
      </w:r>
      <w:proofErr w:type="gramStart"/>
      <w:r>
        <w:rPr>
          <w:rFonts w:hint="eastAsia"/>
          <w:b/>
          <w:bCs/>
        </w:rPr>
        <w:t>移动源碳排放</w:t>
      </w:r>
      <w:proofErr w:type="gramEnd"/>
      <w:r>
        <w:rPr>
          <w:rFonts w:hint="eastAsia"/>
          <w:b/>
          <w:bCs/>
        </w:rPr>
        <w:t>，引导高速公路运营管理低碳转型，为科学评估高速公路交通碳排放水平及高速公路运营管理企业的碳排放管控水平提供数据支持</w:t>
      </w:r>
    </w:p>
    <w:p w14:paraId="490C27D1" w14:textId="77777777" w:rsidR="00FD6984" w:rsidRDefault="00000000">
      <w:pPr>
        <w:ind w:firstLineChars="200" w:firstLine="480"/>
      </w:pPr>
      <w:r>
        <w:rPr>
          <w:rFonts w:hint="eastAsia"/>
        </w:rPr>
        <w:t>目前，高速公路在所有公路中等级最高、移动</w:t>
      </w:r>
      <w:proofErr w:type="gramStart"/>
      <w:r>
        <w:rPr>
          <w:rFonts w:hint="eastAsia"/>
        </w:rPr>
        <w:t>源统计</w:t>
      </w:r>
      <w:proofErr w:type="gramEnd"/>
      <w:r>
        <w:rPr>
          <w:rFonts w:hint="eastAsia"/>
        </w:rPr>
        <w:t>数据基础较好，运营管理信息化水平较高，具备较好的碳排放核算条件。开展高速公路运营期</w:t>
      </w:r>
      <w:proofErr w:type="gramStart"/>
      <w:r>
        <w:rPr>
          <w:rFonts w:hint="eastAsia"/>
        </w:rPr>
        <w:t>移动源碳排放</w:t>
      </w:r>
      <w:proofErr w:type="gramEnd"/>
      <w:r>
        <w:rPr>
          <w:rFonts w:hint="eastAsia"/>
        </w:rPr>
        <w:t>核算方法研究，制定相应的核算标准，可以有效引导广东省高速公路运营管理企业提高低碳发展意识，进而开展高效智慧交通、绿色运行管控、低碳出行引导等行动，降低通过高速公路过程中的车辆能源消耗和</w:t>
      </w:r>
      <w:proofErr w:type="gramStart"/>
      <w:r>
        <w:rPr>
          <w:rFonts w:hint="eastAsia"/>
        </w:rPr>
        <w:t>碳排放</w:t>
      </w:r>
      <w:proofErr w:type="gramEnd"/>
      <w:r>
        <w:rPr>
          <w:rFonts w:hint="eastAsia"/>
        </w:rPr>
        <w:t>。</w:t>
      </w:r>
    </w:p>
    <w:p w14:paraId="72605DA8" w14:textId="77777777" w:rsidR="00FD6984" w:rsidRDefault="00000000">
      <w:pPr>
        <w:ind w:firstLineChars="200" w:firstLine="480"/>
      </w:pPr>
      <w:r>
        <w:rPr>
          <w:rFonts w:hint="eastAsia"/>
        </w:rPr>
        <w:t>通行高速公路的机动车是一种移动排放源，其碳排放具有过程复杂、时空分布广的特点。通过研制《高速公路运营期移动源碳排放核算标准》，建立完善统一规范的核算方法标准，可为高速公路运营期和高速公路用户的碳排放核算提供科学的参考依据，实现各路段的交通碳排放计算可行、数量可比、结果可用。进一步为高速公路布局绿色出行、施行碳普惠制提供方法论，同时也为企业</w:t>
      </w:r>
      <w:proofErr w:type="gramStart"/>
      <w:r>
        <w:rPr>
          <w:rFonts w:hint="eastAsia"/>
        </w:rPr>
        <w:t>践行</w:t>
      </w:r>
      <w:proofErr w:type="gramEnd"/>
      <w:r>
        <w:rPr>
          <w:rFonts w:hint="eastAsia"/>
        </w:rPr>
        <w:t>高效、低碳、清洁等发展目标提供科学的量化依据，加快完善高速公路</w:t>
      </w:r>
      <w:proofErr w:type="gramStart"/>
      <w:r>
        <w:rPr>
          <w:rFonts w:hint="eastAsia"/>
        </w:rPr>
        <w:t>运营低碳化</w:t>
      </w:r>
      <w:proofErr w:type="gramEnd"/>
      <w:r>
        <w:rPr>
          <w:rFonts w:hint="eastAsia"/>
        </w:rPr>
        <w:t>激励机制，促进高速公路运营管理绿色高效发展。</w:t>
      </w:r>
    </w:p>
    <w:p w14:paraId="75F5E2F9" w14:textId="77777777" w:rsidR="00FD6984" w:rsidRDefault="00000000">
      <w:pPr>
        <w:spacing w:beforeLines="50" w:before="156" w:afterLines="50" w:after="156"/>
        <w:ind w:firstLineChars="200" w:firstLine="482"/>
        <w:rPr>
          <w:b/>
          <w:bCs/>
        </w:rPr>
      </w:pPr>
      <w:r>
        <w:rPr>
          <w:rFonts w:hint="eastAsia"/>
          <w:b/>
          <w:bCs/>
        </w:rPr>
        <w:lastRenderedPageBreak/>
        <w:t>（</w:t>
      </w:r>
      <w:r>
        <w:rPr>
          <w:rFonts w:hint="eastAsia"/>
          <w:b/>
          <w:bCs/>
        </w:rPr>
        <w:t>3</w:t>
      </w:r>
      <w:r>
        <w:rPr>
          <w:rFonts w:hint="eastAsia"/>
          <w:b/>
          <w:bCs/>
        </w:rPr>
        <w:t>）进一步完善高速公路绿色运营和温室气体排放核算标准体系，弥补移动源核算标准的缺失，助力提高高速公路节能低碳环保管理水平，挖掘</w:t>
      </w:r>
      <w:proofErr w:type="gramStart"/>
      <w:r>
        <w:rPr>
          <w:rFonts w:hint="eastAsia"/>
          <w:b/>
          <w:bCs/>
        </w:rPr>
        <w:t>其碳减排</w:t>
      </w:r>
      <w:proofErr w:type="gramEnd"/>
      <w:r>
        <w:rPr>
          <w:rFonts w:hint="eastAsia"/>
          <w:b/>
          <w:bCs/>
        </w:rPr>
        <w:t>潜力</w:t>
      </w:r>
    </w:p>
    <w:p w14:paraId="75116EDA" w14:textId="77777777" w:rsidR="00FD6984" w:rsidRDefault="00000000">
      <w:pPr>
        <w:ind w:firstLineChars="200" w:firstLine="480"/>
      </w:pPr>
      <w:r>
        <w:rPr>
          <w:rFonts w:hint="eastAsia"/>
        </w:rPr>
        <w:t>目前，国家尚未出台针对高速公路行业的、统一规范的碳排放核算标准体系，运营期移动源排放核算标准存在缺失。《高速公路运营期移动源碳排放核算标准》的研制将有效弥补高速公路标准在碳排放管理领域的空白，为构建高速公路行业温室气体排放核算体系提供基础。该方法标准既是对广东省绿色交通标准体系的补充和完善，同时也是对广东省</w:t>
      </w:r>
      <w:proofErr w:type="gramStart"/>
      <w:r>
        <w:rPr>
          <w:rFonts w:hint="eastAsia"/>
        </w:rPr>
        <w:t>现行行业碳</w:t>
      </w:r>
      <w:proofErr w:type="gramEnd"/>
      <w:r>
        <w:rPr>
          <w:rFonts w:hint="eastAsia"/>
        </w:rPr>
        <w:t>排放核算及报告标准与指南的补充和完善。</w:t>
      </w:r>
    </w:p>
    <w:p w14:paraId="38D69FE6" w14:textId="77777777" w:rsidR="00FD6984" w:rsidRDefault="00000000">
      <w:pPr>
        <w:ind w:firstLineChars="200" w:firstLine="480"/>
      </w:pPr>
      <w:r>
        <w:rPr>
          <w:rFonts w:hint="eastAsia"/>
        </w:rPr>
        <w:t>该标准的制定工作积极响应了国家《关于完整准确全面贯彻新发展理念做好碳达峰碳中和工作的实施意见》、《关于加快建立统一规范的碳排放统计核算体系实施方案》等相关政策，落实了《广东省碳达峰实施方案》中加强碳排放统计核算能力建设的要求，针对当前高速公路运营管理高质量发展、低碳转型的迫切需求，完善了高速公路</w:t>
      </w:r>
      <w:proofErr w:type="gramStart"/>
      <w:r>
        <w:rPr>
          <w:rFonts w:hint="eastAsia"/>
        </w:rPr>
        <w:t>运营期碳排放</w:t>
      </w:r>
      <w:proofErr w:type="gramEnd"/>
      <w:r>
        <w:rPr>
          <w:rFonts w:hint="eastAsia"/>
        </w:rPr>
        <w:t>核算方法，进一步夯实了由能耗双控转向碳双控的工作基础，有利于进一步挖掘高速公路交通减排潜力。</w:t>
      </w:r>
    </w:p>
    <w:p w14:paraId="1CC11A64" w14:textId="77777777" w:rsidR="00FD6984" w:rsidRDefault="00000000">
      <w:pPr>
        <w:pStyle w:val="1"/>
      </w:pPr>
      <w:bookmarkStart w:id="2" w:name="_Toc169876039"/>
      <w:r>
        <w:rPr>
          <w:rFonts w:hint="eastAsia"/>
        </w:rPr>
        <w:t>关于标准应用场景的说明</w:t>
      </w:r>
      <w:bookmarkEnd w:id="2"/>
    </w:p>
    <w:p w14:paraId="371E2E05" w14:textId="77777777" w:rsidR="00FD6984" w:rsidRDefault="00000000">
      <w:pPr>
        <w:ind w:firstLineChars="200" w:firstLine="480"/>
      </w:pPr>
      <w:r>
        <w:rPr>
          <w:rFonts w:hint="eastAsia"/>
        </w:rPr>
        <w:t>2021</w:t>
      </w:r>
      <w:r>
        <w:rPr>
          <w:rFonts w:hint="eastAsia"/>
        </w:rPr>
        <w:t>年</w:t>
      </w:r>
      <w:r>
        <w:rPr>
          <w:rFonts w:hint="eastAsia"/>
        </w:rPr>
        <w:t>7</w:t>
      </w:r>
      <w:r>
        <w:rPr>
          <w:rFonts w:hint="eastAsia"/>
        </w:rPr>
        <w:t>月，全国</w:t>
      </w:r>
      <w:proofErr w:type="gramStart"/>
      <w:r>
        <w:rPr>
          <w:rFonts w:hint="eastAsia"/>
        </w:rPr>
        <w:t>碳市场</w:t>
      </w:r>
      <w:proofErr w:type="gramEnd"/>
      <w:r>
        <w:rPr>
          <w:rFonts w:hint="eastAsia"/>
        </w:rPr>
        <w:t>正式启动，电力、石化、化工、建材、钢铁、有色、造纸及民航等八个行业首批纳入全国碳市场。对于重点排放企业，政府通过碳排放配额发放结合</w:t>
      </w:r>
      <w:proofErr w:type="gramStart"/>
      <w:r>
        <w:rPr>
          <w:rFonts w:hint="eastAsia"/>
        </w:rPr>
        <w:t>碳市场</w:t>
      </w:r>
      <w:proofErr w:type="gramEnd"/>
      <w:r>
        <w:rPr>
          <w:rFonts w:hint="eastAsia"/>
        </w:rPr>
        <w:t>机制对企业的碳排放进行管控，这些重点排放企业需要对自身生产活动产生的碳排放承担责任。高速公路上的</w:t>
      </w:r>
      <w:proofErr w:type="gramStart"/>
      <w:r>
        <w:rPr>
          <w:rFonts w:hint="eastAsia"/>
        </w:rPr>
        <w:t>移动源碳排放</w:t>
      </w:r>
      <w:proofErr w:type="gramEnd"/>
      <w:r>
        <w:rPr>
          <w:rFonts w:hint="eastAsia"/>
        </w:rPr>
        <w:t>与高速公路运营管理企业的运营服务与管控水平有关，但这些移动源所属的主体众多，既包括营运交通和非营运交通，也包括各类运输企业和私家车。高速公路运营期移动源的碳排放并不能归属于高速公路运营管理企业。因此高速公路运营期</w:t>
      </w:r>
      <w:proofErr w:type="gramStart"/>
      <w:r>
        <w:rPr>
          <w:rFonts w:hint="eastAsia"/>
        </w:rPr>
        <w:t>移动源碳排放</w:t>
      </w:r>
      <w:proofErr w:type="gramEnd"/>
      <w:r>
        <w:rPr>
          <w:rFonts w:hint="eastAsia"/>
        </w:rPr>
        <w:t>核算标准的应用场景与目前其它的行业（企业）碳排放核算标准存在差异。</w:t>
      </w:r>
    </w:p>
    <w:p w14:paraId="1BD8386E" w14:textId="270C5079" w:rsidR="00FD6984" w:rsidRDefault="00000000">
      <w:pPr>
        <w:pStyle w:val="2"/>
      </w:pPr>
      <w:bookmarkStart w:id="3" w:name="_Toc169876040"/>
      <w:r>
        <w:rPr>
          <w:rFonts w:hint="eastAsia"/>
        </w:rPr>
        <w:t>碳排放</w:t>
      </w:r>
      <w:r w:rsidR="00B75466">
        <w:rPr>
          <w:rFonts w:hint="eastAsia"/>
        </w:rPr>
        <w:t>核算对象</w:t>
      </w:r>
      <w:bookmarkEnd w:id="3"/>
    </w:p>
    <w:p w14:paraId="128DE5AD" w14:textId="08935D69" w:rsidR="00FD6984" w:rsidRDefault="00000000">
      <w:pPr>
        <w:ind w:firstLineChars="200" w:firstLine="480"/>
      </w:pPr>
      <w:r>
        <w:rPr>
          <w:rFonts w:hint="eastAsia"/>
        </w:rPr>
        <w:t>目前针对企业层面的碳排放核算是以排放源的控制权来判定核算边界的。从这个角度，高速公路运营期移动源的碳排放量控制的责任主体应是车辆所有</w:t>
      </w:r>
      <w:r>
        <w:rPr>
          <w:rFonts w:hint="eastAsia"/>
        </w:rPr>
        <w:lastRenderedPageBreak/>
        <w:t>方，包括各类企业和私家车主。但是因道路交通运行状况等因素对车辆运行碳排放存在显著影响，高速公路运营管理公司在</w:t>
      </w:r>
      <w:proofErr w:type="gramStart"/>
      <w:r>
        <w:rPr>
          <w:rFonts w:hint="eastAsia"/>
        </w:rPr>
        <w:t>移动源碳排放</w:t>
      </w:r>
      <w:proofErr w:type="gramEnd"/>
      <w:r>
        <w:rPr>
          <w:rFonts w:hint="eastAsia"/>
        </w:rPr>
        <w:t>管</w:t>
      </w:r>
      <w:proofErr w:type="gramStart"/>
      <w:r>
        <w:rPr>
          <w:rFonts w:hint="eastAsia"/>
        </w:rPr>
        <w:t>控方面</w:t>
      </w:r>
      <w:proofErr w:type="gramEnd"/>
      <w:r>
        <w:rPr>
          <w:rFonts w:hint="eastAsia"/>
        </w:rPr>
        <w:t>存在间接责任，如表</w:t>
      </w:r>
      <w:r>
        <w:t>1</w:t>
      </w:r>
      <w:r>
        <w:rPr>
          <w:rFonts w:hint="eastAsia"/>
        </w:rPr>
        <w:t>所示。高速公路运营管理企业承担了高速公路的运营管理服务职责，其运营管理活动会影响高速公路上所有机动车的能耗及排放。因此从高速公路运营期的管理主体角度，</w:t>
      </w:r>
      <w:r w:rsidR="00B75466">
        <w:rPr>
          <w:rFonts w:hint="eastAsia"/>
        </w:rPr>
        <w:t>以</w:t>
      </w:r>
      <w:r>
        <w:rPr>
          <w:rFonts w:hint="eastAsia"/>
        </w:rPr>
        <w:t>高速公路运营管理企业作为高速公路运营期</w:t>
      </w:r>
      <w:proofErr w:type="gramStart"/>
      <w:r>
        <w:rPr>
          <w:rFonts w:hint="eastAsia"/>
        </w:rPr>
        <w:t>移动源碳排放</w:t>
      </w:r>
      <w:proofErr w:type="gramEnd"/>
      <w:r>
        <w:rPr>
          <w:rFonts w:hint="eastAsia"/>
        </w:rPr>
        <w:t>核算的</w:t>
      </w:r>
      <w:r w:rsidR="00B75466">
        <w:rPr>
          <w:rFonts w:hint="eastAsia"/>
        </w:rPr>
        <w:t>核算对象</w:t>
      </w:r>
      <w:r>
        <w:rPr>
          <w:rFonts w:hint="eastAsia"/>
        </w:rPr>
        <w:t>是最为合适的，有利于推动提升高速公路低碳运营服务水平，有效管</w:t>
      </w:r>
      <w:proofErr w:type="gramStart"/>
      <w:r>
        <w:rPr>
          <w:rFonts w:hint="eastAsia"/>
        </w:rPr>
        <w:t>控整个</w:t>
      </w:r>
      <w:proofErr w:type="gramEnd"/>
      <w:r>
        <w:rPr>
          <w:rFonts w:hint="eastAsia"/>
        </w:rPr>
        <w:t>高速公路运营期的</w:t>
      </w:r>
      <w:proofErr w:type="gramStart"/>
      <w:r>
        <w:rPr>
          <w:rFonts w:hint="eastAsia"/>
        </w:rPr>
        <w:t>移动源碳排放</w:t>
      </w:r>
      <w:proofErr w:type="gramEnd"/>
      <w:r>
        <w:rPr>
          <w:rFonts w:hint="eastAsia"/>
        </w:rPr>
        <w:t>。</w:t>
      </w:r>
    </w:p>
    <w:p w14:paraId="68B0EB06" w14:textId="20FAC900" w:rsidR="00FD6984" w:rsidRDefault="00000000">
      <w:pPr>
        <w:ind w:firstLineChars="200" w:firstLine="480"/>
      </w:pPr>
      <w:r>
        <w:rPr>
          <w:rFonts w:hint="eastAsia"/>
        </w:rPr>
        <w:t>综上考虑，本标准规定了高速公路运营期</w:t>
      </w:r>
      <w:proofErr w:type="gramStart"/>
      <w:r>
        <w:rPr>
          <w:rFonts w:hint="eastAsia"/>
        </w:rPr>
        <w:t>移动源碳排放</w:t>
      </w:r>
      <w:proofErr w:type="gramEnd"/>
      <w:r>
        <w:rPr>
          <w:rFonts w:hint="eastAsia"/>
        </w:rPr>
        <w:t>核算</w:t>
      </w:r>
      <w:r w:rsidR="00B75466">
        <w:rPr>
          <w:rFonts w:hint="eastAsia"/>
        </w:rPr>
        <w:t>对象</w:t>
      </w:r>
      <w:r>
        <w:rPr>
          <w:rFonts w:hint="eastAsia"/>
        </w:rPr>
        <w:t>是高速公路运营管理企业。</w:t>
      </w:r>
    </w:p>
    <w:p w14:paraId="66352277" w14:textId="192421EB" w:rsidR="00FD6984" w:rsidRDefault="00000000">
      <w:pPr>
        <w:pStyle w:val="a3"/>
        <w:keepNext/>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CD3467">
        <w:rPr>
          <w:noProof/>
        </w:rPr>
        <w:t>1</w:t>
      </w:r>
      <w:r>
        <w:fldChar w:fldCharType="end"/>
      </w:r>
      <w:r>
        <w:t xml:space="preserve"> </w:t>
      </w:r>
      <w:r>
        <w:rPr>
          <w:rFonts w:hint="eastAsia"/>
        </w:rPr>
        <w:t>高速公路运营期</w:t>
      </w:r>
      <w:proofErr w:type="gramStart"/>
      <w:r>
        <w:rPr>
          <w:rFonts w:hint="eastAsia"/>
        </w:rPr>
        <w:t>移动源碳排放</w:t>
      </w:r>
      <w:proofErr w:type="gramEnd"/>
      <w:r>
        <w:rPr>
          <w:rFonts w:hint="eastAsia"/>
        </w:rPr>
        <w:t>的责任划分</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23"/>
        <w:gridCol w:w="3302"/>
        <w:gridCol w:w="2377"/>
      </w:tblGrid>
      <w:tr w:rsidR="00FD6984" w14:paraId="7D3457C0" w14:textId="77777777">
        <w:trPr>
          <w:trHeight w:val="451"/>
        </w:trPr>
        <w:tc>
          <w:tcPr>
            <w:tcW w:w="2723" w:type="dxa"/>
            <w:vAlign w:val="center"/>
          </w:tcPr>
          <w:p w14:paraId="1F780E8B" w14:textId="77777777" w:rsidR="00FD6984" w:rsidRDefault="00000000">
            <w:pPr>
              <w:pStyle w:val="af9"/>
              <w:spacing w:line="240" w:lineRule="auto"/>
            </w:pPr>
            <w:r>
              <w:rPr>
                <w:rFonts w:hint="eastAsia"/>
              </w:rPr>
              <w:t>研究对象</w:t>
            </w:r>
          </w:p>
        </w:tc>
        <w:tc>
          <w:tcPr>
            <w:tcW w:w="3302" w:type="dxa"/>
            <w:vAlign w:val="center"/>
          </w:tcPr>
          <w:p w14:paraId="5BD29FC5" w14:textId="77777777" w:rsidR="00FD6984" w:rsidRDefault="00000000">
            <w:pPr>
              <w:pStyle w:val="af9"/>
              <w:spacing w:line="240" w:lineRule="auto"/>
            </w:pPr>
            <w:r>
              <w:rPr>
                <w:rFonts w:hint="eastAsia"/>
              </w:rPr>
              <w:t>碳排放主要相关因素</w:t>
            </w:r>
          </w:p>
        </w:tc>
        <w:tc>
          <w:tcPr>
            <w:tcW w:w="2377" w:type="dxa"/>
            <w:vAlign w:val="center"/>
          </w:tcPr>
          <w:p w14:paraId="3A482807" w14:textId="77777777" w:rsidR="00FD6984" w:rsidRDefault="00000000">
            <w:pPr>
              <w:pStyle w:val="af9"/>
              <w:spacing w:line="240" w:lineRule="auto"/>
            </w:pPr>
            <w:r>
              <w:rPr>
                <w:rFonts w:hint="eastAsia"/>
              </w:rPr>
              <w:t>责任方</w:t>
            </w:r>
          </w:p>
        </w:tc>
      </w:tr>
      <w:tr w:rsidR="00FD6984" w14:paraId="4C0DC945" w14:textId="77777777">
        <w:trPr>
          <w:trHeight w:val="431"/>
        </w:trPr>
        <w:tc>
          <w:tcPr>
            <w:tcW w:w="2723" w:type="dxa"/>
            <w:vMerge w:val="restart"/>
            <w:vAlign w:val="center"/>
          </w:tcPr>
          <w:p w14:paraId="5C175E54" w14:textId="77777777" w:rsidR="00FD6984" w:rsidRDefault="00000000">
            <w:pPr>
              <w:pStyle w:val="af9"/>
              <w:spacing w:line="240" w:lineRule="auto"/>
            </w:pPr>
            <w:r>
              <w:rPr>
                <w:rFonts w:hint="eastAsia"/>
              </w:rPr>
              <w:t>高速公路运营管理公司所服务的运营期移动源的碳排放</w:t>
            </w:r>
          </w:p>
        </w:tc>
        <w:tc>
          <w:tcPr>
            <w:tcW w:w="3302" w:type="dxa"/>
            <w:vAlign w:val="center"/>
          </w:tcPr>
          <w:p w14:paraId="078AA6D8" w14:textId="77777777" w:rsidR="00FD6984" w:rsidRDefault="00000000">
            <w:pPr>
              <w:pStyle w:val="af9"/>
              <w:spacing w:line="240" w:lineRule="auto"/>
            </w:pPr>
            <w:r>
              <w:rPr>
                <w:rFonts w:hint="eastAsia"/>
              </w:rPr>
              <w:t>车辆状况</w:t>
            </w:r>
          </w:p>
        </w:tc>
        <w:tc>
          <w:tcPr>
            <w:tcW w:w="2377" w:type="dxa"/>
            <w:vMerge w:val="restart"/>
            <w:vAlign w:val="center"/>
          </w:tcPr>
          <w:p w14:paraId="6D2F5647" w14:textId="77777777" w:rsidR="00FD6984" w:rsidRDefault="00000000">
            <w:pPr>
              <w:pStyle w:val="af9"/>
              <w:spacing w:line="240" w:lineRule="auto"/>
            </w:pPr>
            <w:r>
              <w:rPr>
                <w:rFonts w:hint="eastAsia"/>
              </w:rPr>
              <w:t>车辆所有方</w:t>
            </w:r>
          </w:p>
        </w:tc>
      </w:tr>
      <w:tr w:rsidR="00FD6984" w14:paraId="6CEE1950" w14:textId="77777777">
        <w:trPr>
          <w:trHeight w:val="483"/>
        </w:trPr>
        <w:tc>
          <w:tcPr>
            <w:tcW w:w="2723" w:type="dxa"/>
            <w:vMerge/>
            <w:vAlign w:val="center"/>
          </w:tcPr>
          <w:p w14:paraId="47EF3010" w14:textId="77777777" w:rsidR="00FD6984" w:rsidRDefault="00FD6984">
            <w:pPr>
              <w:pStyle w:val="af9"/>
              <w:spacing w:line="240" w:lineRule="auto"/>
            </w:pPr>
          </w:p>
        </w:tc>
        <w:tc>
          <w:tcPr>
            <w:tcW w:w="3302" w:type="dxa"/>
            <w:vAlign w:val="center"/>
          </w:tcPr>
          <w:p w14:paraId="3E13A10A" w14:textId="77777777" w:rsidR="00FD6984" w:rsidRDefault="00000000">
            <w:pPr>
              <w:pStyle w:val="af9"/>
              <w:spacing w:line="240" w:lineRule="auto"/>
            </w:pPr>
            <w:r>
              <w:rPr>
                <w:rFonts w:hint="eastAsia"/>
              </w:rPr>
              <w:t>驾驶情况</w:t>
            </w:r>
          </w:p>
        </w:tc>
        <w:tc>
          <w:tcPr>
            <w:tcW w:w="2377" w:type="dxa"/>
            <w:vMerge/>
            <w:vAlign w:val="center"/>
          </w:tcPr>
          <w:p w14:paraId="1215E490" w14:textId="77777777" w:rsidR="00FD6984" w:rsidRDefault="00FD6984">
            <w:pPr>
              <w:pStyle w:val="af9"/>
              <w:spacing w:line="240" w:lineRule="auto"/>
            </w:pPr>
          </w:p>
        </w:tc>
      </w:tr>
      <w:tr w:rsidR="00FD6984" w14:paraId="3DB1EB53" w14:textId="77777777">
        <w:trPr>
          <w:trHeight w:val="689"/>
        </w:trPr>
        <w:tc>
          <w:tcPr>
            <w:tcW w:w="2723" w:type="dxa"/>
            <w:vMerge/>
            <w:vAlign w:val="center"/>
          </w:tcPr>
          <w:p w14:paraId="054E0A54" w14:textId="77777777" w:rsidR="00FD6984" w:rsidRDefault="00FD6984">
            <w:pPr>
              <w:pStyle w:val="af9"/>
              <w:spacing w:line="240" w:lineRule="auto"/>
            </w:pPr>
          </w:p>
        </w:tc>
        <w:tc>
          <w:tcPr>
            <w:tcW w:w="3302" w:type="dxa"/>
            <w:vAlign w:val="center"/>
          </w:tcPr>
          <w:p w14:paraId="1DEEDA29" w14:textId="77777777" w:rsidR="00FD6984" w:rsidRDefault="00000000">
            <w:pPr>
              <w:pStyle w:val="af9"/>
              <w:spacing w:line="240" w:lineRule="auto"/>
            </w:pPr>
            <w:r>
              <w:rPr>
                <w:rFonts w:hint="eastAsia"/>
              </w:rPr>
              <w:t>静态道路条件</w:t>
            </w:r>
          </w:p>
        </w:tc>
        <w:tc>
          <w:tcPr>
            <w:tcW w:w="2377" w:type="dxa"/>
            <w:vMerge w:val="restart"/>
            <w:vAlign w:val="center"/>
          </w:tcPr>
          <w:p w14:paraId="6F341FB9" w14:textId="77777777" w:rsidR="00FD6984" w:rsidRDefault="00000000">
            <w:pPr>
              <w:pStyle w:val="af9"/>
              <w:spacing w:line="240" w:lineRule="auto"/>
            </w:pPr>
            <w:r>
              <w:rPr>
                <w:rFonts w:hint="eastAsia"/>
              </w:rPr>
              <w:t>高速公路运营管理公司</w:t>
            </w:r>
          </w:p>
        </w:tc>
      </w:tr>
      <w:tr w:rsidR="00FD6984" w14:paraId="50E3DF3C" w14:textId="77777777">
        <w:trPr>
          <w:trHeight w:val="619"/>
        </w:trPr>
        <w:tc>
          <w:tcPr>
            <w:tcW w:w="2723" w:type="dxa"/>
            <w:vMerge/>
            <w:vAlign w:val="center"/>
          </w:tcPr>
          <w:p w14:paraId="6D9DB760" w14:textId="77777777" w:rsidR="00FD6984" w:rsidRDefault="00FD6984">
            <w:pPr>
              <w:pStyle w:val="af9"/>
              <w:spacing w:line="240" w:lineRule="auto"/>
            </w:pPr>
          </w:p>
        </w:tc>
        <w:tc>
          <w:tcPr>
            <w:tcW w:w="3302" w:type="dxa"/>
            <w:vAlign w:val="center"/>
          </w:tcPr>
          <w:p w14:paraId="5690D11D" w14:textId="77777777" w:rsidR="00FD6984" w:rsidRDefault="00000000">
            <w:pPr>
              <w:pStyle w:val="af9"/>
              <w:spacing w:line="240" w:lineRule="auto"/>
            </w:pPr>
            <w:r>
              <w:rPr>
                <w:rFonts w:hint="eastAsia"/>
              </w:rPr>
              <w:t>动态运行状况</w:t>
            </w:r>
          </w:p>
        </w:tc>
        <w:tc>
          <w:tcPr>
            <w:tcW w:w="2377" w:type="dxa"/>
            <w:vMerge/>
            <w:vAlign w:val="center"/>
          </w:tcPr>
          <w:p w14:paraId="0CB32D77" w14:textId="77777777" w:rsidR="00FD6984" w:rsidRDefault="00FD6984">
            <w:pPr>
              <w:pStyle w:val="af9"/>
              <w:spacing w:line="240" w:lineRule="auto"/>
            </w:pPr>
          </w:p>
        </w:tc>
      </w:tr>
    </w:tbl>
    <w:p w14:paraId="50F7D2B1" w14:textId="77777777" w:rsidR="00FD6984" w:rsidRDefault="00FD6984">
      <w:pPr>
        <w:ind w:firstLineChars="200" w:firstLine="480"/>
      </w:pPr>
    </w:p>
    <w:p w14:paraId="4E5ABE98" w14:textId="77777777" w:rsidR="00FD6984" w:rsidRDefault="00000000">
      <w:pPr>
        <w:pStyle w:val="2"/>
      </w:pPr>
      <w:bookmarkStart w:id="4" w:name="_Toc169876041"/>
      <w:r>
        <w:rPr>
          <w:rFonts w:hint="eastAsia"/>
        </w:rPr>
        <w:t>碳排放管控方向</w:t>
      </w:r>
      <w:bookmarkEnd w:id="4"/>
    </w:p>
    <w:p w14:paraId="0A4EB573" w14:textId="77777777" w:rsidR="00FD6984" w:rsidRDefault="00000000">
      <w:pPr>
        <w:ind w:firstLineChars="200" w:firstLine="480"/>
      </w:pPr>
      <w:r>
        <w:rPr>
          <w:rFonts w:hint="eastAsia"/>
        </w:rPr>
        <w:t>影响高速公路运营期机动车碳排放的因素主要有车辆燃料及能耗、车辆运行速度等，相对应的碳排放管</w:t>
      </w:r>
      <w:proofErr w:type="gramStart"/>
      <w:r>
        <w:rPr>
          <w:rFonts w:hint="eastAsia"/>
        </w:rPr>
        <w:t>控方向</w:t>
      </w:r>
      <w:proofErr w:type="gramEnd"/>
      <w:r>
        <w:rPr>
          <w:rFonts w:hint="eastAsia"/>
        </w:rPr>
        <w:t>也可以划分为车辆技术方面和实际运行方面。车辆技术方面，目前主要措施是推广使用低排放或零排放的车型；实际运行方面，主要措施是减少交通拥堵、调节路网流量分布、提高通行效率。</w:t>
      </w:r>
    </w:p>
    <w:p w14:paraId="0893A34B" w14:textId="77777777" w:rsidR="00FD6984" w:rsidRDefault="00000000">
      <w:pPr>
        <w:ind w:firstLineChars="200" w:firstLine="480"/>
      </w:pPr>
      <w:r>
        <w:rPr>
          <w:rFonts w:hint="eastAsia"/>
        </w:rPr>
        <w:t>高速公路与普通道路相比，其显著特点是实施通行收费，运行数据较为完善。基于高速公路通行收费机制引导运营期</w:t>
      </w:r>
      <w:proofErr w:type="gramStart"/>
      <w:r>
        <w:rPr>
          <w:rFonts w:hint="eastAsia"/>
        </w:rPr>
        <w:t>移动源碳排放</w:t>
      </w:r>
      <w:proofErr w:type="gramEnd"/>
      <w:r>
        <w:rPr>
          <w:rFonts w:hint="eastAsia"/>
        </w:rPr>
        <w:t>主动管</w:t>
      </w:r>
      <w:proofErr w:type="gramStart"/>
      <w:r>
        <w:rPr>
          <w:rFonts w:hint="eastAsia"/>
        </w:rPr>
        <w:t>控具有</w:t>
      </w:r>
      <w:proofErr w:type="gramEnd"/>
      <w:r>
        <w:rPr>
          <w:rFonts w:hint="eastAsia"/>
        </w:rPr>
        <w:t>特别优势。按表</w:t>
      </w:r>
      <w:r>
        <w:rPr>
          <w:rFonts w:hint="eastAsia"/>
        </w:rPr>
        <w:t>2</w:t>
      </w:r>
      <w:r>
        <w:rPr>
          <w:rFonts w:hint="eastAsia"/>
        </w:rPr>
        <w:t>所示，对于车辆所有方而言，基于碳排放评价指标研究高速公路差异</w:t>
      </w:r>
      <w:proofErr w:type="gramStart"/>
      <w:r>
        <w:rPr>
          <w:rFonts w:hint="eastAsia"/>
        </w:rPr>
        <w:t>化收费</w:t>
      </w:r>
      <w:proofErr w:type="gramEnd"/>
      <w:r>
        <w:rPr>
          <w:rFonts w:hint="eastAsia"/>
        </w:rPr>
        <w:t>定价策略，可以引导车辆所有方选择更低排放的车辆；对于高速公路运营公司而言，基于碳排放核算数据量化研究确立碳排放管控激励机制，可以引导高速公路运营公司加强交通拥堵治理、提高通行效率及服务水平进而达到控制</w:t>
      </w:r>
      <w:proofErr w:type="gramStart"/>
      <w:r>
        <w:rPr>
          <w:rFonts w:hint="eastAsia"/>
        </w:rPr>
        <w:t>移动源碳排放</w:t>
      </w:r>
      <w:proofErr w:type="gramEnd"/>
      <w:r>
        <w:rPr>
          <w:rFonts w:hint="eastAsia"/>
        </w:rPr>
        <w:t>的目的。</w:t>
      </w:r>
    </w:p>
    <w:p w14:paraId="22EC35A9" w14:textId="77777777" w:rsidR="00FD6984" w:rsidRDefault="00FD6984">
      <w:pPr>
        <w:jc w:val="center"/>
        <w:rPr>
          <w:rFonts w:ascii="宋体" w:hAnsi="宋体" w:cs="宋体"/>
          <w:b/>
          <w:bCs/>
        </w:rPr>
      </w:pPr>
    </w:p>
    <w:p w14:paraId="5AD35DD3" w14:textId="5E7EBD11" w:rsidR="00FD6984" w:rsidRDefault="00000000">
      <w:pPr>
        <w:pStyle w:val="a3"/>
        <w:keepNext/>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CD3467">
        <w:rPr>
          <w:noProof/>
        </w:rPr>
        <w:t>2</w:t>
      </w:r>
      <w:r>
        <w:fldChar w:fldCharType="end"/>
      </w:r>
      <w:r>
        <w:t xml:space="preserve"> </w:t>
      </w:r>
      <w:r>
        <w:rPr>
          <w:rFonts w:hint="eastAsia"/>
        </w:rPr>
        <w:t>基于收费机制的高速公路</w:t>
      </w:r>
      <w:proofErr w:type="gramStart"/>
      <w:r>
        <w:rPr>
          <w:rFonts w:hint="eastAsia"/>
        </w:rPr>
        <w:t>移动源碳排放</w:t>
      </w:r>
      <w:proofErr w:type="gramEnd"/>
      <w:r>
        <w:rPr>
          <w:rFonts w:hint="eastAsia"/>
        </w:rPr>
        <w:t>管控措施</w:t>
      </w:r>
    </w:p>
    <w:tbl>
      <w:tblPr>
        <w:tblStyle w:val="ae"/>
        <w:tblW w:w="861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47"/>
        <w:gridCol w:w="2806"/>
        <w:gridCol w:w="4164"/>
      </w:tblGrid>
      <w:tr w:rsidR="00FD6984" w14:paraId="3238F39D" w14:textId="77777777">
        <w:trPr>
          <w:trHeight w:val="357"/>
          <w:jc w:val="center"/>
        </w:trPr>
        <w:tc>
          <w:tcPr>
            <w:tcW w:w="1647" w:type="dxa"/>
            <w:vAlign w:val="center"/>
          </w:tcPr>
          <w:p w14:paraId="79C341CA" w14:textId="77777777" w:rsidR="00FD6984" w:rsidRDefault="00000000">
            <w:pPr>
              <w:pStyle w:val="af9"/>
              <w:spacing w:line="240" w:lineRule="auto"/>
            </w:pPr>
            <w:r>
              <w:rPr>
                <w:rFonts w:hint="eastAsia"/>
              </w:rPr>
              <w:t>责任对象</w:t>
            </w:r>
          </w:p>
        </w:tc>
        <w:tc>
          <w:tcPr>
            <w:tcW w:w="2806" w:type="dxa"/>
            <w:vAlign w:val="center"/>
          </w:tcPr>
          <w:p w14:paraId="52BFCFED" w14:textId="77777777" w:rsidR="00FD6984" w:rsidRDefault="00000000">
            <w:pPr>
              <w:pStyle w:val="af9"/>
              <w:spacing w:line="240" w:lineRule="auto"/>
            </w:pPr>
            <w:r>
              <w:rPr>
                <w:rFonts w:hint="eastAsia"/>
              </w:rPr>
              <w:t>管</w:t>
            </w:r>
            <w:proofErr w:type="gramStart"/>
            <w:r>
              <w:rPr>
                <w:rFonts w:hint="eastAsia"/>
              </w:rPr>
              <w:t>控方向</w:t>
            </w:r>
            <w:proofErr w:type="gramEnd"/>
          </w:p>
        </w:tc>
        <w:tc>
          <w:tcPr>
            <w:tcW w:w="4164" w:type="dxa"/>
            <w:vAlign w:val="center"/>
          </w:tcPr>
          <w:p w14:paraId="2398A685" w14:textId="77777777" w:rsidR="00FD6984" w:rsidRDefault="00000000">
            <w:pPr>
              <w:pStyle w:val="af9"/>
              <w:spacing w:line="240" w:lineRule="auto"/>
            </w:pPr>
            <w:r>
              <w:rPr>
                <w:rFonts w:hint="eastAsia"/>
              </w:rPr>
              <w:t>说明</w:t>
            </w:r>
          </w:p>
        </w:tc>
      </w:tr>
      <w:tr w:rsidR="00FD6984" w14:paraId="4235A83F" w14:textId="77777777">
        <w:trPr>
          <w:trHeight w:val="741"/>
          <w:jc w:val="center"/>
        </w:trPr>
        <w:tc>
          <w:tcPr>
            <w:tcW w:w="1647" w:type="dxa"/>
            <w:vAlign w:val="center"/>
          </w:tcPr>
          <w:p w14:paraId="4DE6A9D2" w14:textId="77777777" w:rsidR="00FD6984" w:rsidRDefault="00000000">
            <w:pPr>
              <w:pStyle w:val="af9"/>
              <w:spacing w:line="240" w:lineRule="auto"/>
            </w:pPr>
            <w:r>
              <w:rPr>
                <w:rFonts w:hint="eastAsia"/>
              </w:rPr>
              <w:t>车辆所有方</w:t>
            </w:r>
          </w:p>
        </w:tc>
        <w:tc>
          <w:tcPr>
            <w:tcW w:w="2806" w:type="dxa"/>
            <w:vAlign w:val="center"/>
          </w:tcPr>
          <w:p w14:paraId="250DCAB0" w14:textId="77777777" w:rsidR="00FD6984" w:rsidRDefault="00000000">
            <w:pPr>
              <w:pStyle w:val="af9"/>
              <w:spacing w:line="240" w:lineRule="auto"/>
            </w:pPr>
            <w:r>
              <w:rPr>
                <w:rFonts w:hint="eastAsia"/>
              </w:rPr>
              <w:t>引导车辆转型升级</w:t>
            </w:r>
          </w:p>
        </w:tc>
        <w:tc>
          <w:tcPr>
            <w:tcW w:w="4164" w:type="dxa"/>
            <w:vAlign w:val="center"/>
          </w:tcPr>
          <w:p w14:paraId="1D257CE9" w14:textId="77777777" w:rsidR="00FD6984" w:rsidRDefault="00000000">
            <w:pPr>
              <w:pStyle w:val="af9"/>
              <w:spacing w:line="240" w:lineRule="auto"/>
            </w:pPr>
            <w:r>
              <w:rPr>
                <w:rFonts w:hint="eastAsia"/>
              </w:rPr>
              <w:t>对低排放车辆进行通行费优惠，引导使用低排放车辆</w:t>
            </w:r>
          </w:p>
        </w:tc>
      </w:tr>
      <w:tr w:rsidR="00FD6984" w14:paraId="5B41A2C8" w14:textId="77777777">
        <w:trPr>
          <w:trHeight w:val="1121"/>
          <w:jc w:val="center"/>
        </w:trPr>
        <w:tc>
          <w:tcPr>
            <w:tcW w:w="1647" w:type="dxa"/>
            <w:vAlign w:val="center"/>
          </w:tcPr>
          <w:p w14:paraId="1F845C2B" w14:textId="77777777" w:rsidR="00FD6984" w:rsidRDefault="00000000">
            <w:pPr>
              <w:pStyle w:val="af9"/>
              <w:spacing w:line="240" w:lineRule="auto"/>
            </w:pPr>
            <w:r>
              <w:rPr>
                <w:rFonts w:hint="eastAsia"/>
              </w:rPr>
              <w:t>高速公路运营公司</w:t>
            </w:r>
          </w:p>
        </w:tc>
        <w:tc>
          <w:tcPr>
            <w:tcW w:w="2806" w:type="dxa"/>
            <w:vAlign w:val="center"/>
          </w:tcPr>
          <w:p w14:paraId="33D0AAF3" w14:textId="77777777" w:rsidR="00FD6984" w:rsidRDefault="00000000">
            <w:pPr>
              <w:pStyle w:val="af9"/>
              <w:spacing w:line="240" w:lineRule="auto"/>
            </w:pPr>
            <w:r>
              <w:rPr>
                <w:rFonts w:hint="eastAsia"/>
              </w:rPr>
              <w:t>引导运营公司加强拥堵运行治理</w:t>
            </w:r>
          </w:p>
        </w:tc>
        <w:tc>
          <w:tcPr>
            <w:tcW w:w="4164" w:type="dxa"/>
            <w:vAlign w:val="center"/>
          </w:tcPr>
          <w:p w14:paraId="673AF122" w14:textId="77777777" w:rsidR="00FD6984" w:rsidRDefault="00000000">
            <w:pPr>
              <w:pStyle w:val="af9"/>
              <w:spacing w:line="240" w:lineRule="auto"/>
            </w:pPr>
            <w:r>
              <w:rPr>
                <w:rFonts w:hint="eastAsia"/>
              </w:rPr>
              <w:t>通过价格杠杆调整车流分布和运行状态，基于碳排放核算数据量化研究确立碳排放管控激励机制，引导高速公路运营公司加强交通拥堵治理、提高路网通行效率</w:t>
            </w:r>
          </w:p>
        </w:tc>
      </w:tr>
    </w:tbl>
    <w:p w14:paraId="000EAF0C" w14:textId="77777777" w:rsidR="00FD6984" w:rsidRDefault="00000000">
      <w:pPr>
        <w:pStyle w:val="2"/>
      </w:pPr>
      <w:bookmarkStart w:id="5" w:name="_Toc169876042"/>
      <w:r>
        <w:rPr>
          <w:rFonts w:hint="eastAsia"/>
        </w:rPr>
        <w:t>主要使用场景</w:t>
      </w:r>
      <w:bookmarkEnd w:id="5"/>
    </w:p>
    <w:p w14:paraId="4E5E1169" w14:textId="268FB262" w:rsidR="00FD6984" w:rsidRDefault="00000000">
      <w:pPr>
        <w:ind w:firstLineChars="200" w:firstLine="480"/>
      </w:pPr>
      <w:r>
        <w:rPr>
          <w:rFonts w:hint="eastAsia"/>
        </w:rPr>
        <w:t>基于高速公路运营期</w:t>
      </w:r>
      <w:proofErr w:type="gramStart"/>
      <w:r>
        <w:rPr>
          <w:rFonts w:hint="eastAsia"/>
        </w:rPr>
        <w:t>移动源碳排放</w:t>
      </w:r>
      <w:proofErr w:type="gramEnd"/>
      <w:r w:rsidR="00A14557">
        <w:rPr>
          <w:rFonts w:hint="eastAsia"/>
        </w:rPr>
        <w:t>核算对象</w:t>
      </w:r>
      <w:proofErr w:type="gramStart"/>
      <w:r>
        <w:rPr>
          <w:rFonts w:hint="eastAsia"/>
        </w:rPr>
        <w:t>确定及碳排放</w:t>
      </w:r>
      <w:proofErr w:type="gramEnd"/>
      <w:r>
        <w:rPr>
          <w:rFonts w:hint="eastAsia"/>
        </w:rPr>
        <w:t>管控措施的实施方向，可初步建立高速公路运营期</w:t>
      </w:r>
      <w:proofErr w:type="gramStart"/>
      <w:r>
        <w:rPr>
          <w:rFonts w:hint="eastAsia"/>
        </w:rPr>
        <w:t>移动源碳排放</w:t>
      </w:r>
      <w:proofErr w:type="gramEnd"/>
      <w:r>
        <w:rPr>
          <w:rFonts w:hint="eastAsia"/>
        </w:rPr>
        <w:t>管控机制，如图</w:t>
      </w:r>
      <w:r>
        <w:t>1</w:t>
      </w:r>
      <w:r>
        <w:rPr>
          <w:rFonts w:hint="eastAsia"/>
        </w:rPr>
        <w:t>所示。本标准的主要使用场景归纳为以下三个方面：</w:t>
      </w:r>
    </w:p>
    <w:p w14:paraId="09CECFE0" w14:textId="77777777" w:rsidR="00FD6984" w:rsidRDefault="00000000">
      <w:pPr>
        <w:ind w:firstLineChars="200" w:firstLine="480"/>
      </w:pPr>
      <w:r>
        <w:rPr>
          <w:rFonts w:hint="eastAsia"/>
        </w:rPr>
        <w:t>（</w:t>
      </w:r>
      <w:r>
        <w:rPr>
          <w:rFonts w:hint="eastAsia"/>
        </w:rPr>
        <w:t>1</w:t>
      </w:r>
      <w:r>
        <w:rPr>
          <w:rFonts w:hint="eastAsia"/>
        </w:rPr>
        <w:t>）基于核算标准建立健全高速公路运营期的交通碳排放监测体系，为高速公路运营管理各</w:t>
      </w:r>
      <w:proofErr w:type="gramStart"/>
      <w:r>
        <w:rPr>
          <w:rFonts w:hint="eastAsia"/>
        </w:rPr>
        <w:t>类政策</w:t>
      </w:r>
      <w:proofErr w:type="gramEnd"/>
      <w:r>
        <w:rPr>
          <w:rFonts w:hint="eastAsia"/>
        </w:rPr>
        <w:t>及措施的实施效果评估提供数据支持。</w:t>
      </w:r>
    </w:p>
    <w:p w14:paraId="5E09869C" w14:textId="77777777" w:rsidR="00FD6984" w:rsidRDefault="00000000">
      <w:pPr>
        <w:ind w:firstLineChars="200" w:firstLine="480"/>
      </w:pPr>
      <w:r>
        <w:rPr>
          <w:rFonts w:hint="eastAsia"/>
        </w:rPr>
        <w:t>（</w:t>
      </w:r>
      <w:r>
        <w:rPr>
          <w:rFonts w:hint="eastAsia"/>
        </w:rPr>
        <w:t>2</w:t>
      </w:r>
      <w:r>
        <w:rPr>
          <w:rFonts w:hint="eastAsia"/>
        </w:rPr>
        <w:t>）基于核算标准获得高速公路运营期</w:t>
      </w:r>
      <w:proofErr w:type="gramStart"/>
      <w:r>
        <w:rPr>
          <w:rFonts w:hint="eastAsia"/>
        </w:rPr>
        <w:t>移动源碳排放</w:t>
      </w:r>
      <w:proofErr w:type="gramEnd"/>
      <w:r>
        <w:rPr>
          <w:rFonts w:hint="eastAsia"/>
        </w:rPr>
        <w:t>数据，进一步构建出高速公路</w:t>
      </w:r>
      <w:proofErr w:type="gramStart"/>
      <w:r>
        <w:rPr>
          <w:rFonts w:hint="eastAsia"/>
        </w:rPr>
        <w:t>运营期碳排放</w:t>
      </w:r>
      <w:proofErr w:type="gramEnd"/>
      <w:r>
        <w:rPr>
          <w:rFonts w:hint="eastAsia"/>
        </w:rPr>
        <w:t>管</w:t>
      </w:r>
      <w:proofErr w:type="gramStart"/>
      <w:r>
        <w:rPr>
          <w:rFonts w:hint="eastAsia"/>
        </w:rPr>
        <w:t>控评价</w:t>
      </w:r>
      <w:proofErr w:type="gramEnd"/>
      <w:r>
        <w:rPr>
          <w:rFonts w:hint="eastAsia"/>
        </w:rPr>
        <w:t>指标，通过碳排放管控激励措施促进高速公路运营管理企业加强运行管理、提升服务水平；</w:t>
      </w:r>
    </w:p>
    <w:p w14:paraId="2E7DFE64" w14:textId="009A0F8F" w:rsidR="00FD6984" w:rsidRDefault="00000000">
      <w:pPr>
        <w:ind w:firstLineChars="200" w:firstLine="480"/>
      </w:pPr>
      <w:r>
        <w:rPr>
          <w:rFonts w:hint="eastAsia"/>
        </w:rPr>
        <w:t>（</w:t>
      </w:r>
      <w:r>
        <w:rPr>
          <w:rFonts w:hint="eastAsia"/>
        </w:rPr>
        <w:t>3</w:t>
      </w:r>
      <w:r>
        <w:rPr>
          <w:rFonts w:hint="eastAsia"/>
        </w:rPr>
        <w:t>）基于碳排放数据及评价指标研究制定高速公路差异</w:t>
      </w:r>
      <w:proofErr w:type="gramStart"/>
      <w:r>
        <w:rPr>
          <w:rFonts w:hint="eastAsia"/>
        </w:rPr>
        <w:t>化收费</w:t>
      </w:r>
      <w:proofErr w:type="gramEnd"/>
      <w:r>
        <w:rPr>
          <w:rFonts w:hint="eastAsia"/>
        </w:rPr>
        <w:t>定价策略，以收费政策引导车辆向低能耗、低排放（甚至零排放）转型，促进高速公路运营管理企业加强运营管理、减少交通拥堵、提高车辆通行效率。</w:t>
      </w:r>
    </w:p>
    <w:p w14:paraId="1C669ACE" w14:textId="77777777" w:rsidR="00FD6984" w:rsidRDefault="00FD6984"/>
    <w:p w14:paraId="274D995E" w14:textId="77777777" w:rsidR="00FD6984" w:rsidRDefault="00000000">
      <w:pPr>
        <w:pStyle w:val="afb"/>
      </w:pPr>
      <w:r>
        <w:rPr>
          <w:noProof/>
        </w:rPr>
        <w:lastRenderedPageBreak/>
        <w:drawing>
          <wp:inline distT="0" distB="0" distL="0" distR="0" wp14:anchorId="4FFDC6DC" wp14:editId="55C2D929">
            <wp:extent cx="4892040" cy="5646420"/>
            <wp:effectExtent l="0" t="0" r="3810" b="0"/>
            <wp:docPr id="4708177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817734"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895305" cy="5650288"/>
                    </a:xfrm>
                    <a:prstGeom prst="rect">
                      <a:avLst/>
                    </a:prstGeom>
                    <a:noFill/>
                    <a:ln>
                      <a:noFill/>
                    </a:ln>
                  </pic:spPr>
                </pic:pic>
              </a:graphicData>
            </a:graphic>
          </wp:inline>
        </w:drawing>
      </w:r>
    </w:p>
    <w:p w14:paraId="67017E64" w14:textId="0A14975E" w:rsidR="00FD6984" w:rsidRDefault="00000000">
      <w:pPr>
        <w:pStyle w:val="a3"/>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CD3467">
        <w:rPr>
          <w:noProof/>
        </w:rPr>
        <w:t>1</w:t>
      </w:r>
      <w:r>
        <w:fldChar w:fldCharType="end"/>
      </w:r>
      <w:r>
        <w:t xml:space="preserve"> </w:t>
      </w:r>
      <w:r>
        <w:rPr>
          <w:rFonts w:hint="eastAsia"/>
        </w:rPr>
        <w:t>高速公路运营期</w:t>
      </w:r>
      <w:proofErr w:type="gramStart"/>
      <w:r>
        <w:rPr>
          <w:rFonts w:hint="eastAsia"/>
        </w:rPr>
        <w:t>移动源碳排放</w:t>
      </w:r>
      <w:proofErr w:type="gramEnd"/>
      <w:r>
        <w:rPr>
          <w:rFonts w:hint="eastAsia"/>
        </w:rPr>
        <w:t>管控机制</w:t>
      </w:r>
    </w:p>
    <w:p w14:paraId="3F5ABAF7" w14:textId="77777777" w:rsidR="00FD6984" w:rsidRDefault="00FD6984"/>
    <w:p w14:paraId="16C35A25" w14:textId="77777777" w:rsidR="00FD6984" w:rsidRDefault="00000000">
      <w:pPr>
        <w:pStyle w:val="1"/>
      </w:pPr>
      <w:bookmarkStart w:id="6" w:name="_Toc169876043"/>
      <w:r>
        <w:rPr>
          <w:rFonts w:hint="eastAsia"/>
        </w:rPr>
        <w:t>相关法律、法规和标准情况</w:t>
      </w:r>
      <w:bookmarkEnd w:id="6"/>
    </w:p>
    <w:p w14:paraId="5F65EAB2" w14:textId="77777777" w:rsidR="00FD6984" w:rsidRDefault="00000000">
      <w:pPr>
        <w:ind w:firstLineChars="200" w:firstLine="480"/>
      </w:pPr>
      <w:r>
        <w:rPr>
          <w:rFonts w:hint="eastAsia"/>
        </w:rPr>
        <w:t>从国内外调研情况来看，目前省级（或行业）层面以上涉及温室气体排放核算的技术指导性文件主要有《</w:t>
      </w:r>
      <w:r>
        <w:rPr>
          <w:rFonts w:hint="eastAsia"/>
        </w:rPr>
        <w:t xml:space="preserve">IPCC </w:t>
      </w:r>
      <w:r>
        <w:rPr>
          <w:rFonts w:hint="eastAsia"/>
        </w:rPr>
        <w:t>国家温室气体清单指南》、《温室气体核算体系（</w:t>
      </w:r>
      <w:r>
        <w:rPr>
          <w:rFonts w:hint="eastAsia"/>
        </w:rPr>
        <w:t>Greenhouse Gas Protocol</w:t>
      </w:r>
      <w:r>
        <w:rPr>
          <w:rFonts w:hint="eastAsia"/>
        </w:rPr>
        <w:t>）》、《</w:t>
      </w:r>
      <w:r>
        <w:rPr>
          <w:rFonts w:hint="eastAsia"/>
        </w:rPr>
        <w:t>ISO 14064</w:t>
      </w:r>
      <w:r>
        <w:rPr>
          <w:rFonts w:hint="eastAsia"/>
        </w:rPr>
        <w:t>》、《</w:t>
      </w:r>
      <w:r>
        <w:rPr>
          <w:rFonts w:hint="eastAsia"/>
        </w:rPr>
        <w:t>ISO 14067</w:t>
      </w:r>
      <w:r>
        <w:rPr>
          <w:rFonts w:hint="eastAsia"/>
        </w:rPr>
        <w:t>》、《省级温室气体清单编制指南》、</w:t>
      </w:r>
      <w:r>
        <w:rPr>
          <w:rFonts w:hint="eastAsia"/>
        </w:rPr>
        <w:t>24</w:t>
      </w:r>
      <w:r>
        <w:rPr>
          <w:rFonts w:hint="eastAsia"/>
        </w:rPr>
        <w:t>个行业碳排放数据核算及报告的标准及指南、《</w:t>
      </w:r>
      <w:r>
        <w:rPr>
          <w:rFonts w:hint="eastAsia"/>
        </w:rPr>
        <w:t xml:space="preserve">GB/T 32150-2015 </w:t>
      </w:r>
      <w:r>
        <w:rPr>
          <w:rFonts w:hint="eastAsia"/>
        </w:rPr>
        <w:t>工业企业温室气体排放核算和报告通则》、《温室气体排放核算与报告要求第</w:t>
      </w:r>
      <w:r>
        <w:rPr>
          <w:rFonts w:hint="eastAsia"/>
        </w:rPr>
        <w:t>1</w:t>
      </w:r>
      <w:r>
        <w:rPr>
          <w:rFonts w:hint="eastAsia"/>
        </w:rPr>
        <w:t>部分：发电企业》等</w:t>
      </w:r>
      <w:r>
        <w:rPr>
          <w:rFonts w:hint="eastAsia"/>
        </w:rPr>
        <w:t>12</w:t>
      </w:r>
      <w:r>
        <w:rPr>
          <w:rFonts w:hint="eastAsia"/>
        </w:rPr>
        <w:t>个国家标准。不难发现，国内外对于温室气体排放</w:t>
      </w:r>
      <w:r>
        <w:rPr>
          <w:rFonts w:hint="eastAsia"/>
        </w:rPr>
        <w:lastRenderedPageBreak/>
        <w:t>包括二氧化碳排放等问题关注度持续升温，新的核算方法及标准制定修订也在陆续出台。</w:t>
      </w:r>
    </w:p>
    <w:p w14:paraId="63E9A3C6" w14:textId="77777777" w:rsidR="00FD6984" w:rsidRDefault="00FD6984">
      <w:pPr>
        <w:ind w:firstLineChars="200" w:firstLine="480"/>
      </w:pPr>
    </w:p>
    <w:p w14:paraId="153CDF77" w14:textId="07E84D75" w:rsidR="00FD6984" w:rsidRDefault="00000000">
      <w:pPr>
        <w:pStyle w:val="a3"/>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CD3467">
        <w:rPr>
          <w:noProof/>
        </w:rPr>
        <w:t>3</w:t>
      </w:r>
      <w:r>
        <w:fldChar w:fldCharType="end"/>
      </w:r>
      <w:r>
        <w:t xml:space="preserve"> </w:t>
      </w:r>
      <w:r>
        <w:rPr>
          <w:rFonts w:hint="eastAsia"/>
        </w:rPr>
        <w:t>国际上温室气体核算技术性文件</w:t>
      </w:r>
    </w:p>
    <w:tbl>
      <w:tblPr>
        <w:tblStyle w:val="ae"/>
        <w:tblW w:w="5088" w:type="pct"/>
        <w:jc w:val="center"/>
        <w:tblLook w:val="04A0" w:firstRow="1" w:lastRow="0" w:firstColumn="1" w:lastColumn="0" w:noHBand="0" w:noVBand="1"/>
      </w:tblPr>
      <w:tblGrid>
        <w:gridCol w:w="1908"/>
        <w:gridCol w:w="2312"/>
        <w:gridCol w:w="2723"/>
        <w:gridCol w:w="1729"/>
      </w:tblGrid>
      <w:tr w:rsidR="00FD6984" w14:paraId="65134502" w14:textId="77777777">
        <w:trPr>
          <w:trHeight w:val="639"/>
          <w:tblHeader/>
          <w:jc w:val="center"/>
        </w:trPr>
        <w:tc>
          <w:tcPr>
            <w:tcW w:w="1100" w:type="pct"/>
            <w:vAlign w:val="center"/>
          </w:tcPr>
          <w:p w14:paraId="5B55875C" w14:textId="77777777" w:rsidR="00FD6984" w:rsidRDefault="00000000">
            <w:pPr>
              <w:pStyle w:val="a6"/>
              <w:spacing w:line="240" w:lineRule="auto"/>
              <w:ind w:left="0"/>
              <w:jc w:val="center"/>
              <w:rPr>
                <w:rFonts w:eastAsia="宋体" w:hAnsi="宋体"/>
                <w:kern w:val="0"/>
                <w:sz w:val="21"/>
                <w:szCs w:val="21"/>
              </w:rPr>
            </w:pPr>
            <w:r>
              <w:rPr>
                <w:rFonts w:eastAsia="宋体" w:hAnsi="宋体" w:hint="eastAsia"/>
                <w:b/>
                <w:bCs/>
                <w:kern w:val="0"/>
                <w:sz w:val="21"/>
                <w:szCs w:val="21"/>
              </w:rPr>
              <w:t>核算体系</w:t>
            </w:r>
          </w:p>
        </w:tc>
        <w:tc>
          <w:tcPr>
            <w:tcW w:w="1333" w:type="pct"/>
            <w:vAlign w:val="center"/>
          </w:tcPr>
          <w:p w14:paraId="7B36B7EC" w14:textId="77777777" w:rsidR="00FD6984" w:rsidRDefault="00000000">
            <w:pPr>
              <w:pStyle w:val="a6"/>
              <w:spacing w:line="240" w:lineRule="auto"/>
              <w:ind w:left="0"/>
              <w:jc w:val="center"/>
              <w:rPr>
                <w:rFonts w:eastAsia="宋体" w:hAnsi="宋体"/>
                <w:kern w:val="0"/>
                <w:sz w:val="21"/>
                <w:szCs w:val="21"/>
              </w:rPr>
            </w:pPr>
            <w:r>
              <w:rPr>
                <w:rFonts w:eastAsia="宋体" w:hAnsi="宋体" w:hint="eastAsia"/>
                <w:b/>
                <w:bCs/>
                <w:kern w:val="0"/>
                <w:sz w:val="21"/>
                <w:szCs w:val="21"/>
              </w:rPr>
              <w:t>制定/发布机构</w:t>
            </w:r>
          </w:p>
        </w:tc>
        <w:tc>
          <w:tcPr>
            <w:tcW w:w="1570" w:type="pct"/>
            <w:vAlign w:val="center"/>
          </w:tcPr>
          <w:p w14:paraId="7D3AE153" w14:textId="77777777" w:rsidR="00FD6984" w:rsidRDefault="00000000">
            <w:pPr>
              <w:pStyle w:val="a6"/>
              <w:spacing w:line="240" w:lineRule="auto"/>
              <w:ind w:left="0"/>
              <w:jc w:val="center"/>
              <w:rPr>
                <w:rFonts w:eastAsia="宋体" w:hAnsi="宋体"/>
                <w:kern w:val="0"/>
                <w:sz w:val="21"/>
                <w:szCs w:val="21"/>
              </w:rPr>
            </w:pPr>
            <w:r>
              <w:rPr>
                <w:rFonts w:eastAsia="宋体" w:hAnsi="宋体" w:hint="eastAsia"/>
                <w:b/>
                <w:bCs/>
                <w:kern w:val="0"/>
                <w:sz w:val="21"/>
                <w:szCs w:val="21"/>
              </w:rPr>
              <w:t>适用场景</w:t>
            </w:r>
          </w:p>
        </w:tc>
        <w:tc>
          <w:tcPr>
            <w:tcW w:w="998" w:type="pct"/>
            <w:vAlign w:val="center"/>
          </w:tcPr>
          <w:p w14:paraId="56E33273" w14:textId="77777777" w:rsidR="00FD6984" w:rsidRDefault="00000000">
            <w:pPr>
              <w:pStyle w:val="a6"/>
              <w:spacing w:line="240" w:lineRule="auto"/>
              <w:ind w:left="0"/>
              <w:jc w:val="center"/>
              <w:rPr>
                <w:rFonts w:eastAsia="宋体" w:hAnsi="宋体"/>
                <w:kern w:val="0"/>
                <w:sz w:val="21"/>
                <w:szCs w:val="21"/>
              </w:rPr>
            </w:pPr>
            <w:r>
              <w:rPr>
                <w:rFonts w:eastAsia="宋体" w:hAnsi="宋体" w:hint="eastAsia"/>
                <w:b/>
                <w:bCs/>
                <w:kern w:val="0"/>
                <w:sz w:val="21"/>
                <w:szCs w:val="21"/>
              </w:rPr>
              <w:t>特点</w:t>
            </w:r>
          </w:p>
        </w:tc>
      </w:tr>
      <w:tr w:rsidR="00FD6984" w14:paraId="4B0CB38B" w14:textId="77777777">
        <w:trPr>
          <w:trHeight w:val="2753"/>
          <w:jc w:val="center"/>
        </w:trPr>
        <w:tc>
          <w:tcPr>
            <w:tcW w:w="1100" w:type="pct"/>
            <w:vAlign w:val="center"/>
          </w:tcPr>
          <w:p w14:paraId="2F4B58C3" w14:textId="77777777" w:rsidR="00FD6984" w:rsidRDefault="00000000">
            <w:pPr>
              <w:pStyle w:val="a6"/>
              <w:spacing w:line="240" w:lineRule="auto"/>
              <w:ind w:left="0"/>
              <w:jc w:val="center"/>
              <w:rPr>
                <w:rFonts w:eastAsia="宋体" w:hAnsi="宋体"/>
                <w:kern w:val="0"/>
                <w:sz w:val="21"/>
                <w:szCs w:val="21"/>
              </w:rPr>
            </w:pPr>
            <w:r>
              <w:rPr>
                <w:rFonts w:eastAsia="宋体" w:hAnsi="宋体" w:hint="eastAsia"/>
                <w:kern w:val="0"/>
                <w:sz w:val="21"/>
                <w:szCs w:val="21"/>
              </w:rPr>
              <w:t>IPCC 国家温室气体清单指南</w:t>
            </w:r>
          </w:p>
        </w:tc>
        <w:tc>
          <w:tcPr>
            <w:tcW w:w="1333" w:type="pct"/>
            <w:vAlign w:val="center"/>
          </w:tcPr>
          <w:p w14:paraId="7898EE0E" w14:textId="77777777" w:rsidR="00FD6984" w:rsidRDefault="00000000">
            <w:pPr>
              <w:pStyle w:val="a6"/>
              <w:spacing w:line="240" w:lineRule="auto"/>
              <w:ind w:left="0"/>
              <w:jc w:val="center"/>
              <w:rPr>
                <w:rFonts w:eastAsia="宋体" w:hAnsi="宋体"/>
                <w:kern w:val="0"/>
                <w:sz w:val="21"/>
                <w:szCs w:val="21"/>
              </w:rPr>
            </w:pPr>
            <w:r>
              <w:rPr>
                <w:rFonts w:eastAsia="宋体" w:hAnsi="宋体" w:hint="eastAsia"/>
                <w:kern w:val="0"/>
                <w:sz w:val="21"/>
                <w:szCs w:val="21"/>
              </w:rPr>
              <w:t>政府间气候变化专门委员会（Intergovernmental Panel on Climate Change，简称IPCC）</w:t>
            </w:r>
          </w:p>
        </w:tc>
        <w:tc>
          <w:tcPr>
            <w:tcW w:w="1570" w:type="pct"/>
            <w:vAlign w:val="center"/>
          </w:tcPr>
          <w:p w14:paraId="1DF1784A" w14:textId="77777777" w:rsidR="00FD6984" w:rsidRDefault="00000000">
            <w:pPr>
              <w:pStyle w:val="a6"/>
              <w:spacing w:line="240" w:lineRule="auto"/>
              <w:ind w:left="0"/>
              <w:jc w:val="center"/>
              <w:rPr>
                <w:rFonts w:eastAsia="宋体" w:hAnsi="宋体"/>
                <w:kern w:val="0"/>
                <w:sz w:val="21"/>
                <w:szCs w:val="21"/>
              </w:rPr>
            </w:pPr>
            <w:r>
              <w:rPr>
                <w:rFonts w:eastAsia="宋体" w:hAnsi="宋体" w:hint="eastAsia"/>
                <w:kern w:val="0"/>
                <w:sz w:val="21"/>
                <w:szCs w:val="21"/>
              </w:rPr>
              <w:t>主要面向国家和区域层面的温室气体清单编制工作</w:t>
            </w:r>
          </w:p>
        </w:tc>
        <w:tc>
          <w:tcPr>
            <w:tcW w:w="998" w:type="pct"/>
            <w:vAlign w:val="center"/>
          </w:tcPr>
          <w:p w14:paraId="53A06342" w14:textId="77777777" w:rsidR="00FD6984" w:rsidRDefault="00000000">
            <w:pPr>
              <w:pStyle w:val="a6"/>
              <w:spacing w:line="240" w:lineRule="auto"/>
              <w:ind w:left="0"/>
              <w:jc w:val="center"/>
              <w:rPr>
                <w:rFonts w:eastAsia="宋体" w:hAnsi="宋体"/>
                <w:kern w:val="0"/>
                <w:sz w:val="21"/>
                <w:szCs w:val="21"/>
              </w:rPr>
            </w:pPr>
            <w:r>
              <w:rPr>
                <w:rFonts w:eastAsia="宋体" w:hAnsi="宋体" w:hint="eastAsia"/>
                <w:kern w:val="0"/>
                <w:sz w:val="21"/>
                <w:szCs w:val="21"/>
              </w:rPr>
              <w:t>所采用的排放因子以及活动数据属于国家以及区域层面的数据。</w:t>
            </w:r>
          </w:p>
        </w:tc>
      </w:tr>
      <w:tr w:rsidR="00FD6984" w14:paraId="552C6515" w14:textId="77777777">
        <w:trPr>
          <w:trHeight w:val="2054"/>
          <w:jc w:val="center"/>
        </w:trPr>
        <w:tc>
          <w:tcPr>
            <w:tcW w:w="1100" w:type="pct"/>
            <w:vAlign w:val="center"/>
          </w:tcPr>
          <w:p w14:paraId="4150A9CC" w14:textId="77777777" w:rsidR="00FD6984" w:rsidRDefault="00000000">
            <w:pPr>
              <w:pStyle w:val="a6"/>
              <w:spacing w:line="240" w:lineRule="auto"/>
              <w:ind w:left="0"/>
              <w:jc w:val="center"/>
              <w:rPr>
                <w:rFonts w:eastAsia="宋体" w:hAnsi="宋体"/>
                <w:kern w:val="0"/>
                <w:sz w:val="21"/>
                <w:szCs w:val="21"/>
              </w:rPr>
            </w:pPr>
            <w:r>
              <w:rPr>
                <w:rFonts w:eastAsia="宋体" w:hAnsi="宋体" w:hint="eastAsia"/>
                <w:kern w:val="0"/>
                <w:sz w:val="21"/>
                <w:szCs w:val="21"/>
              </w:rPr>
              <w:t>温室气体核算体系（Greenhouse Gas Protocol）</w:t>
            </w:r>
          </w:p>
        </w:tc>
        <w:tc>
          <w:tcPr>
            <w:tcW w:w="1333" w:type="pct"/>
            <w:vAlign w:val="center"/>
          </w:tcPr>
          <w:p w14:paraId="4E8EC9D4" w14:textId="77777777" w:rsidR="00FD6984" w:rsidRDefault="00000000">
            <w:pPr>
              <w:pStyle w:val="a6"/>
              <w:spacing w:line="240" w:lineRule="auto"/>
              <w:ind w:left="0"/>
              <w:jc w:val="center"/>
              <w:rPr>
                <w:rFonts w:eastAsia="宋体" w:hAnsi="宋体"/>
                <w:kern w:val="0"/>
                <w:sz w:val="21"/>
                <w:szCs w:val="21"/>
              </w:rPr>
            </w:pPr>
            <w:r>
              <w:rPr>
                <w:rFonts w:eastAsia="宋体" w:hAnsi="宋体" w:hint="eastAsia"/>
                <w:kern w:val="0"/>
                <w:sz w:val="21"/>
                <w:szCs w:val="21"/>
              </w:rPr>
              <w:t>非政府组织世界资源研究所 联合170 家国际公司或机构建立</w:t>
            </w:r>
          </w:p>
        </w:tc>
        <w:tc>
          <w:tcPr>
            <w:tcW w:w="1570" w:type="pct"/>
            <w:vAlign w:val="center"/>
          </w:tcPr>
          <w:p w14:paraId="56E1B83C" w14:textId="77777777" w:rsidR="00FD6984" w:rsidRDefault="00000000">
            <w:pPr>
              <w:pStyle w:val="a6"/>
              <w:spacing w:line="240" w:lineRule="auto"/>
              <w:ind w:left="0"/>
              <w:jc w:val="center"/>
              <w:rPr>
                <w:rFonts w:eastAsia="宋体" w:hAnsi="宋体"/>
                <w:kern w:val="0"/>
                <w:sz w:val="21"/>
                <w:szCs w:val="21"/>
              </w:rPr>
            </w:pPr>
            <w:r>
              <w:rPr>
                <w:rFonts w:eastAsia="宋体" w:hAnsi="宋体" w:hint="eastAsia"/>
                <w:kern w:val="0"/>
                <w:sz w:val="21"/>
                <w:szCs w:val="21"/>
              </w:rPr>
              <w:t>针对企业、组织或者减</w:t>
            </w:r>
            <w:proofErr w:type="gramStart"/>
            <w:r>
              <w:rPr>
                <w:rFonts w:eastAsia="宋体" w:hAnsi="宋体" w:hint="eastAsia"/>
                <w:kern w:val="0"/>
                <w:sz w:val="21"/>
                <w:szCs w:val="21"/>
              </w:rPr>
              <w:t>排项目</w:t>
            </w:r>
            <w:proofErr w:type="gramEnd"/>
            <w:r>
              <w:rPr>
                <w:rFonts w:eastAsia="宋体" w:hAnsi="宋体" w:hint="eastAsia"/>
                <w:kern w:val="0"/>
                <w:sz w:val="21"/>
                <w:szCs w:val="21"/>
              </w:rPr>
              <w:t>进行温室气体核算</w:t>
            </w:r>
          </w:p>
        </w:tc>
        <w:tc>
          <w:tcPr>
            <w:tcW w:w="998" w:type="pct"/>
            <w:vAlign w:val="center"/>
          </w:tcPr>
          <w:p w14:paraId="2C65B70E" w14:textId="77777777" w:rsidR="00FD6984" w:rsidRDefault="00000000">
            <w:pPr>
              <w:pStyle w:val="a6"/>
              <w:spacing w:line="240" w:lineRule="auto"/>
              <w:ind w:left="0"/>
              <w:jc w:val="center"/>
              <w:rPr>
                <w:rFonts w:eastAsia="宋体" w:hAnsi="宋体"/>
                <w:kern w:val="0"/>
                <w:sz w:val="21"/>
                <w:szCs w:val="21"/>
              </w:rPr>
            </w:pPr>
            <w:r>
              <w:rPr>
                <w:rFonts w:eastAsia="宋体" w:hAnsi="宋体" w:hint="eastAsia"/>
                <w:kern w:val="0"/>
                <w:sz w:val="21"/>
                <w:szCs w:val="21"/>
              </w:rPr>
              <w:t>覆盖了企业、组织、项目等多个层次</w:t>
            </w:r>
          </w:p>
        </w:tc>
      </w:tr>
      <w:tr w:rsidR="00FD6984" w14:paraId="5D2AEE74" w14:textId="77777777">
        <w:trPr>
          <w:trHeight w:val="2041"/>
          <w:jc w:val="center"/>
        </w:trPr>
        <w:tc>
          <w:tcPr>
            <w:tcW w:w="1100" w:type="pct"/>
            <w:vAlign w:val="center"/>
          </w:tcPr>
          <w:p w14:paraId="232EBE08" w14:textId="77777777" w:rsidR="00FD6984" w:rsidRDefault="00000000">
            <w:pPr>
              <w:pStyle w:val="a6"/>
              <w:spacing w:line="240" w:lineRule="auto"/>
              <w:ind w:left="0"/>
              <w:jc w:val="center"/>
              <w:rPr>
                <w:rFonts w:eastAsia="宋体" w:hAnsi="宋体"/>
                <w:kern w:val="0"/>
                <w:sz w:val="21"/>
                <w:szCs w:val="21"/>
              </w:rPr>
            </w:pPr>
            <w:r>
              <w:rPr>
                <w:rFonts w:eastAsia="宋体" w:hAnsi="宋体" w:hint="eastAsia"/>
                <w:kern w:val="0"/>
                <w:sz w:val="21"/>
                <w:szCs w:val="21"/>
              </w:rPr>
              <w:t>ISO 14064、ISO 14067</w:t>
            </w:r>
          </w:p>
        </w:tc>
        <w:tc>
          <w:tcPr>
            <w:tcW w:w="1333" w:type="pct"/>
            <w:vAlign w:val="center"/>
          </w:tcPr>
          <w:p w14:paraId="533D05DB" w14:textId="77777777" w:rsidR="00FD6984" w:rsidRDefault="00000000">
            <w:pPr>
              <w:pStyle w:val="a6"/>
              <w:spacing w:line="240" w:lineRule="auto"/>
              <w:ind w:left="0"/>
              <w:jc w:val="center"/>
              <w:rPr>
                <w:rFonts w:eastAsia="宋体" w:hAnsi="宋体"/>
                <w:kern w:val="0"/>
                <w:sz w:val="21"/>
                <w:szCs w:val="21"/>
              </w:rPr>
            </w:pPr>
            <w:r>
              <w:rPr>
                <w:rFonts w:eastAsia="宋体" w:hAnsi="宋体" w:hint="eastAsia"/>
                <w:kern w:val="0"/>
                <w:sz w:val="21"/>
                <w:szCs w:val="21"/>
              </w:rPr>
              <w:t>国际标准化组织(International Organization for Standardization，简称 ISO)</w:t>
            </w:r>
          </w:p>
        </w:tc>
        <w:tc>
          <w:tcPr>
            <w:tcW w:w="1570" w:type="pct"/>
            <w:vAlign w:val="center"/>
          </w:tcPr>
          <w:p w14:paraId="6716914D" w14:textId="77777777" w:rsidR="00FD6984" w:rsidRDefault="00000000">
            <w:pPr>
              <w:pStyle w:val="a6"/>
              <w:ind w:left="0"/>
              <w:rPr>
                <w:rFonts w:eastAsia="宋体" w:hAnsi="宋体"/>
                <w:kern w:val="0"/>
                <w:sz w:val="21"/>
                <w:szCs w:val="21"/>
              </w:rPr>
            </w:pPr>
            <w:r>
              <w:rPr>
                <w:rFonts w:eastAsia="宋体" w:hAnsi="宋体" w:hint="eastAsia"/>
                <w:kern w:val="0"/>
                <w:sz w:val="21"/>
                <w:szCs w:val="21"/>
              </w:rPr>
              <w:t>ISO 14064-1适用于组织；ISO 14064-2适用于温室气体项目；ISO 14064-3适用于</w:t>
            </w:r>
            <w:proofErr w:type="gramStart"/>
            <w:r>
              <w:rPr>
                <w:rFonts w:eastAsia="宋体" w:hAnsi="宋体" w:hint="eastAsia"/>
                <w:kern w:val="0"/>
                <w:sz w:val="21"/>
                <w:szCs w:val="21"/>
              </w:rPr>
              <w:t>审定员</w:t>
            </w:r>
            <w:proofErr w:type="gramEnd"/>
            <w:r>
              <w:rPr>
                <w:rFonts w:eastAsia="宋体" w:hAnsi="宋体" w:hint="eastAsia"/>
                <w:kern w:val="0"/>
                <w:sz w:val="21"/>
                <w:szCs w:val="21"/>
              </w:rPr>
              <w:t>和核查员；ISO 14067核算对象是产品或者服务在全生命周期内温室气体排放量以及温室气体清除量</w:t>
            </w:r>
          </w:p>
        </w:tc>
        <w:tc>
          <w:tcPr>
            <w:tcW w:w="998" w:type="pct"/>
            <w:vAlign w:val="center"/>
          </w:tcPr>
          <w:p w14:paraId="67D122A4" w14:textId="77777777" w:rsidR="00FD6984" w:rsidRDefault="00000000">
            <w:pPr>
              <w:pStyle w:val="a6"/>
              <w:spacing w:line="240" w:lineRule="auto"/>
              <w:ind w:left="0"/>
              <w:jc w:val="center"/>
              <w:rPr>
                <w:rFonts w:eastAsia="宋体" w:hAnsi="宋体"/>
                <w:kern w:val="0"/>
                <w:sz w:val="21"/>
                <w:szCs w:val="21"/>
              </w:rPr>
            </w:pPr>
            <w:r>
              <w:rPr>
                <w:rFonts w:eastAsia="宋体" w:hAnsi="宋体" w:hint="eastAsia"/>
                <w:kern w:val="0"/>
                <w:sz w:val="21"/>
                <w:szCs w:val="21"/>
              </w:rPr>
              <w:t>量化的气体有六种，包括二氧化碳（CO2）、甲烷（CH4）、氧化亚氮（N2O）、氢氟碳化物（HFCs）、</w:t>
            </w:r>
            <w:proofErr w:type="gramStart"/>
            <w:r>
              <w:rPr>
                <w:rFonts w:eastAsia="宋体" w:hAnsi="宋体" w:hint="eastAsia"/>
                <w:kern w:val="0"/>
                <w:sz w:val="21"/>
                <w:szCs w:val="21"/>
              </w:rPr>
              <w:t>全氟碳化物</w:t>
            </w:r>
            <w:proofErr w:type="gramEnd"/>
            <w:r>
              <w:rPr>
                <w:rFonts w:eastAsia="宋体" w:hAnsi="宋体" w:hint="eastAsia"/>
                <w:kern w:val="0"/>
                <w:sz w:val="21"/>
                <w:szCs w:val="21"/>
              </w:rPr>
              <w:t>（PFCs）和六氟化硫（SF6）</w:t>
            </w:r>
          </w:p>
        </w:tc>
      </w:tr>
    </w:tbl>
    <w:p w14:paraId="530AC22A" w14:textId="77777777" w:rsidR="00FD6984" w:rsidRDefault="00FD6984"/>
    <w:p w14:paraId="5EC79FEB" w14:textId="77777777" w:rsidR="00FD6984" w:rsidRDefault="00000000">
      <w:r>
        <w:br w:type="page"/>
      </w:r>
    </w:p>
    <w:p w14:paraId="2B4EF255" w14:textId="77777777" w:rsidR="00FD6984" w:rsidRDefault="00FD6984"/>
    <w:p w14:paraId="0EB3794E" w14:textId="63BCDEAD" w:rsidR="00FD6984" w:rsidRDefault="00000000">
      <w:pPr>
        <w:pStyle w:val="a3"/>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CD3467">
        <w:rPr>
          <w:noProof/>
        </w:rPr>
        <w:t>4</w:t>
      </w:r>
      <w:r>
        <w:fldChar w:fldCharType="end"/>
      </w:r>
      <w:r>
        <w:t xml:space="preserve"> </w:t>
      </w:r>
      <w:r>
        <w:rPr>
          <w:rFonts w:hint="eastAsia"/>
        </w:rPr>
        <w:t>国内温室气体核算技术性文件</w:t>
      </w:r>
    </w:p>
    <w:tbl>
      <w:tblPr>
        <w:tblStyle w:val="ae"/>
        <w:tblW w:w="5006" w:type="pct"/>
        <w:tblLook w:val="04A0" w:firstRow="1" w:lastRow="0" w:firstColumn="1" w:lastColumn="0" w:noHBand="0" w:noVBand="1"/>
      </w:tblPr>
      <w:tblGrid>
        <w:gridCol w:w="1671"/>
        <w:gridCol w:w="1727"/>
        <w:gridCol w:w="1974"/>
        <w:gridCol w:w="3160"/>
      </w:tblGrid>
      <w:tr w:rsidR="00FD6984" w14:paraId="01955F9D" w14:textId="77777777">
        <w:trPr>
          <w:trHeight w:val="450"/>
          <w:tblHeader/>
        </w:trPr>
        <w:tc>
          <w:tcPr>
            <w:tcW w:w="979" w:type="pct"/>
            <w:vAlign w:val="center"/>
          </w:tcPr>
          <w:p w14:paraId="16415152" w14:textId="77777777" w:rsidR="00FD6984" w:rsidRDefault="00000000">
            <w:pPr>
              <w:pStyle w:val="af0"/>
              <w:spacing w:line="240" w:lineRule="auto"/>
              <w:rPr>
                <w:rFonts w:ascii="宋体" w:hAnsi="宋体"/>
                <w:b/>
                <w:kern w:val="0"/>
                <w:sz w:val="21"/>
              </w:rPr>
            </w:pPr>
            <w:r>
              <w:rPr>
                <w:rFonts w:ascii="宋体" w:hAnsi="宋体" w:hint="eastAsia"/>
                <w:b/>
                <w:kern w:val="0"/>
                <w:sz w:val="21"/>
              </w:rPr>
              <w:t>核算技术文件</w:t>
            </w:r>
          </w:p>
        </w:tc>
        <w:tc>
          <w:tcPr>
            <w:tcW w:w="1012" w:type="pct"/>
            <w:vAlign w:val="center"/>
          </w:tcPr>
          <w:p w14:paraId="62D9822A" w14:textId="77777777" w:rsidR="00FD6984" w:rsidRDefault="00000000">
            <w:pPr>
              <w:pStyle w:val="af0"/>
              <w:spacing w:line="240" w:lineRule="auto"/>
              <w:rPr>
                <w:rFonts w:ascii="宋体" w:hAnsi="宋体"/>
                <w:b/>
                <w:kern w:val="0"/>
                <w:sz w:val="21"/>
              </w:rPr>
            </w:pPr>
            <w:r>
              <w:rPr>
                <w:rFonts w:ascii="宋体" w:hAnsi="宋体" w:hint="eastAsia"/>
                <w:b/>
                <w:kern w:val="0"/>
                <w:sz w:val="21"/>
              </w:rPr>
              <w:t>归口/制定部门</w:t>
            </w:r>
          </w:p>
        </w:tc>
        <w:tc>
          <w:tcPr>
            <w:tcW w:w="1157" w:type="pct"/>
            <w:vAlign w:val="center"/>
          </w:tcPr>
          <w:p w14:paraId="4D637B1F" w14:textId="77777777" w:rsidR="00FD6984" w:rsidRDefault="00000000">
            <w:pPr>
              <w:pStyle w:val="af0"/>
              <w:spacing w:line="240" w:lineRule="auto"/>
              <w:rPr>
                <w:rFonts w:ascii="宋体" w:hAnsi="宋体"/>
                <w:b/>
                <w:kern w:val="0"/>
                <w:sz w:val="21"/>
              </w:rPr>
            </w:pPr>
            <w:r>
              <w:rPr>
                <w:rFonts w:ascii="宋体" w:hAnsi="宋体" w:hint="eastAsia"/>
                <w:b/>
                <w:kern w:val="0"/>
                <w:sz w:val="21"/>
              </w:rPr>
              <w:t>适用场景</w:t>
            </w:r>
          </w:p>
        </w:tc>
        <w:tc>
          <w:tcPr>
            <w:tcW w:w="1852" w:type="pct"/>
            <w:vAlign w:val="center"/>
          </w:tcPr>
          <w:p w14:paraId="7C772362" w14:textId="77777777" w:rsidR="00FD6984" w:rsidRDefault="00000000">
            <w:pPr>
              <w:pStyle w:val="af0"/>
              <w:spacing w:line="240" w:lineRule="auto"/>
              <w:rPr>
                <w:rFonts w:ascii="宋体" w:hAnsi="宋体"/>
                <w:b/>
                <w:kern w:val="0"/>
                <w:sz w:val="21"/>
              </w:rPr>
            </w:pPr>
            <w:r>
              <w:rPr>
                <w:rFonts w:ascii="宋体" w:hAnsi="宋体" w:hint="eastAsia"/>
                <w:b/>
                <w:kern w:val="0"/>
                <w:sz w:val="21"/>
              </w:rPr>
              <w:t>特点</w:t>
            </w:r>
          </w:p>
        </w:tc>
      </w:tr>
      <w:tr w:rsidR="00FD6984" w14:paraId="61319576" w14:textId="77777777">
        <w:trPr>
          <w:trHeight w:val="3003"/>
        </w:trPr>
        <w:tc>
          <w:tcPr>
            <w:tcW w:w="979" w:type="pct"/>
            <w:vAlign w:val="center"/>
          </w:tcPr>
          <w:p w14:paraId="5A81CAFF" w14:textId="77777777" w:rsidR="00FD6984" w:rsidRDefault="00000000">
            <w:pPr>
              <w:pStyle w:val="af0"/>
              <w:spacing w:line="240" w:lineRule="auto"/>
              <w:rPr>
                <w:rFonts w:ascii="宋体" w:hAnsi="宋体"/>
                <w:bCs w:val="0"/>
                <w:kern w:val="0"/>
                <w:sz w:val="21"/>
              </w:rPr>
            </w:pPr>
            <w:r>
              <w:rPr>
                <w:rFonts w:ascii="宋体" w:hAnsi="宋体" w:hint="eastAsia"/>
                <w:bCs w:val="0"/>
                <w:kern w:val="0"/>
                <w:sz w:val="21"/>
              </w:rPr>
              <w:t>《省级温室气体清单编制指南》</w:t>
            </w:r>
          </w:p>
        </w:tc>
        <w:tc>
          <w:tcPr>
            <w:tcW w:w="1012" w:type="pct"/>
            <w:vAlign w:val="center"/>
          </w:tcPr>
          <w:p w14:paraId="405584FC" w14:textId="77777777" w:rsidR="00FD6984" w:rsidRDefault="00000000">
            <w:pPr>
              <w:pStyle w:val="af0"/>
              <w:spacing w:line="240" w:lineRule="auto"/>
              <w:rPr>
                <w:rFonts w:ascii="宋体" w:hAnsi="宋体"/>
                <w:bCs w:val="0"/>
                <w:kern w:val="0"/>
                <w:sz w:val="21"/>
              </w:rPr>
            </w:pPr>
            <w:r>
              <w:rPr>
                <w:rFonts w:ascii="宋体" w:hAnsi="宋体" w:hint="eastAsia"/>
                <w:bCs w:val="0"/>
                <w:kern w:val="0"/>
                <w:sz w:val="21"/>
              </w:rPr>
              <w:t>国家发展与改革委员会气候司、国内多所著名高校以及多所著名研究所、研究中心</w:t>
            </w:r>
          </w:p>
        </w:tc>
        <w:tc>
          <w:tcPr>
            <w:tcW w:w="1157" w:type="pct"/>
            <w:vAlign w:val="center"/>
          </w:tcPr>
          <w:p w14:paraId="2BDB8F84" w14:textId="77777777" w:rsidR="00FD6984" w:rsidRDefault="00000000">
            <w:pPr>
              <w:pStyle w:val="af0"/>
              <w:spacing w:line="240" w:lineRule="auto"/>
              <w:rPr>
                <w:rFonts w:ascii="宋体" w:hAnsi="宋体"/>
                <w:bCs w:val="0"/>
                <w:kern w:val="0"/>
                <w:sz w:val="21"/>
              </w:rPr>
            </w:pPr>
            <w:r>
              <w:rPr>
                <w:rFonts w:ascii="宋体" w:hAnsi="宋体" w:hint="eastAsia"/>
                <w:bCs w:val="0"/>
                <w:kern w:val="0"/>
                <w:sz w:val="21"/>
              </w:rPr>
              <w:t>《省级指南》与其他国际上的温室气体清单编制指南相比更适合我国在进行区域温室气体清单编制的工作时使用。</w:t>
            </w:r>
          </w:p>
        </w:tc>
        <w:tc>
          <w:tcPr>
            <w:tcW w:w="1852" w:type="pct"/>
            <w:vAlign w:val="center"/>
          </w:tcPr>
          <w:p w14:paraId="211D77DF" w14:textId="77777777" w:rsidR="00FD6984" w:rsidRDefault="00000000">
            <w:pPr>
              <w:pStyle w:val="af0"/>
              <w:spacing w:line="240" w:lineRule="auto"/>
              <w:rPr>
                <w:rFonts w:ascii="宋体" w:hAnsi="宋体"/>
                <w:bCs w:val="0"/>
                <w:kern w:val="0"/>
                <w:sz w:val="21"/>
              </w:rPr>
            </w:pPr>
            <w:r>
              <w:rPr>
                <w:rFonts w:ascii="宋体" w:hAnsi="宋体" w:hint="eastAsia"/>
                <w:bCs w:val="0"/>
                <w:kern w:val="0"/>
                <w:sz w:val="21"/>
              </w:rPr>
              <w:t>参考了《IPCC 指南》相关核算方法理论（基于排放因子）对于温室气体核算所使用的碳排放因子与《IPCC 指南》中推荐的缺省排放因子不同。</w:t>
            </w:r>
          </w:p>
          <w:p w14:paraId="028C7357" w14:textId="77777777" w:rsidR="00FD6984" w:rsidRDefault="00000000">
            <w:pPr>
              <w:pStyle w:val="af0"/>
              <w:spacing w:line="240" w:lineRule="auto"/>
              <w:rPr>
                <w:rFonts w:ascii="宋体" w:hAnsi="宋体"/>
                <w:bCs w:val="0"/>
                <w:kern w:val="0"/>
                <w:sz w:val="21"/>
              </w:rPr>
            </w:pPr>
            <w:r>
              <w:rPr>
                <w:rFonts w:ascii="宋体" w:hAnsi="宋体" w:hint="eastAsia"/>
                <w:bCs w:val="0"/>
                <w:kern w:val="0"/>
                <w:sz w:val="21"/>
              </w:rPr>
              <w:t>即使是没有给出具体的碳排放因子时，《省级指南》给出计算碳排放因子所需的具体数值以及核算步骤，这些具体数值也更符合我国国情。</w:t>
            </w:r>
          </w:p>
        </w:tc>
      </w:tr>
      <w:tr w:rsidR="00FD6984" w14:paraId="5B197090" w14:textId="77777777">
        <w:trPr>
          <w:trHeight w:val="465"/>
        </w:trPr>
        <w:tc>
          <w:tcPr>
            <w:tcW w:w="979" w:type="pct"/>
            <w:vAlign w:val="center"/>
          </w:tcPr>
          <w:p w14:paraId="463FCD4D" w14:textId="77777777" w:rsidR="00FD6984" w:rsidRDefault="00000000">
            <w:pPr>
              <w:pStyle w:val="af0"/>
              <w:spacing w:line="240" w:lineRule="auto"/>
              <w:rPr>
                <w:rFonts w:ascii="宋体" w:hAnsi="宋体"/>
                <w:bCs w:val="0"/>
                <w:kern w:val="0"/>
                <w:sz w:val="21"/>
              </w:rPr>
            </w:pPr>
            <w:r>
              <w:rPr>
                <w:rFonts w:ascii="宋体" w:hAnsi="宋体" w:hint="eastAsia"/>
                <w:bCs w:val="0"/>
                <w:kern w:val="0"/>
                <w:sz w:val="21"/>
              </w:rPr>
              <w:t>行业企业温室气体排放核算方法与报告指南（24个行业指南）</w:t>
            </w:r>
          </w:p>
        </w:tc>
        <w:tc>
          <w:tcPr>
            <w:tcW w:w="1012" w:type="pct"/>
            <w:vAlign w:val="center"/>
          </w:tcPr>
          <w:p w14:paraId="18B3D000" w14:textId="77777777" w:rsidR="00FD6984" w:rsidRDefault="00000000">
            <w:pPr>
              <w:pStyle w:val="af0"/>
              <w:spacing w:line="240" w:lineRule="auto"/>
              <w:rPr>
                <w:rFonts w:ascii="宋体" w:hAnsi="宋体"/>
                <w:bCs w:val="0"/>
                <w:kern w:val="0"/>
                <w:sz w:val="21"/>
              </w:rPr>
            </w:pPr>
            <w:r>
              <w:rPr>
                <w:rFonts w:ascii="宋体" w:hAnsi="宋体" w:hint="eastAsia"/>
                <w:bCs w:val="0"/>
                <w:kern w:val="0"/>
                <w:sz w:val="21"/>
              </w:rPr>
              <w:t>国家发展与改革委员会委托国家应对气候变化战略研究与国际合作中心共同编制</w:t>
            </w:r>
          </w:p>
        </w:tc>
        <w:tc>
          <w:tcPr>
            <w:tcW w:w="1157" w:type="pct"/>
            <w:vAlign w:val="center"/>
          </w:tcPr>
          <w:p w14:paraId="453F5F59" w14:textId="77777777" w:rsidR="00FD6984" w:rsidRDefault="00000000">
            <w:pPr>
              <w:pStyle w:val="af0"/>
              <w:spacing w:line="240" w:lineRule="auto"/>
              <w:rPr>
                <w:rFonts w:ascii="宋体" w:hAnsi="宋体"/>
                <w:bCs w:val="0"/>
                <w:kern w:val="0"/>
                <w:sz w:val="21"/>
              </w:rPr>
            </w:pPr>
            <w:r>
              <w:rPr>
                <w:rFonts w:ascii="宋体" w:hAnsi="宋体" w:hint="eastAsia"/>
                <w:bCs w:val="0"/>
                <w:kern w:val="0"/>
                <w:sz w:val="21"/>
              </w:rPr>
              <w:t>该系列行业企业指南依据每个标准的不同，适用于不同行业的企业或者其他独立核算的法人组织。该系列指南的行业分类是依据我国国民经济行业分类，每个行业指南中都给出相应的适用范围供核算企业参考</w:t>
            </w:r>
          </w:p>
        </w:tc>
        <w:tc>
          <w:tcPr>
            <w:tcW w:w="1852" w:type="pct"/>
            <w:vAlign w:val="center"/>
          </w:tcPr>
          <w:p w14:paraId="2B39C0E2" w14:textId="77777777" w:rsidR="00FD6984" w:rsidRDefault="00000000">
            <w:pPr>
              <w:pStyle w:val="af0"/>
              <w:spacing w:line="240" w:lineRule="auto"/>
              <w:rPr>
                <w:rFonts w:ascii="宋体" w:hAnsi="宋体"/>
                <w:bCs w:val="0"/>
                <w:kern w:val="0"/>
                <w:sz w:val="21"/>
              </w:rPr>
            </w:pPr>
            <w:r>
              <w:rPr>
                <w:rFonts w:ascii="宋体" w:hAnsi="宋体" w:hint="eastAsia"/>
                <w:bCs w:val="0"/>
                <w:kern w:val="0"/>
                <w:sz w:val="21"/>
              </w:rPr>
              <w:t>企业需要核算和报告在运营上有控制权的所有生产场所和设施产生的温室气体排放。</w:t>
            </w:r>
          </w:p>
          <w:p w14:paraId="61A978FD" w14:textId="77777777" w:rsidR="00FD6984" w:rsidRDefault="00000000">
            <w:pPr>
              <w:pStyle w:val="af0"/>
              <w:spacing w:line="240" w:lineRule="auto"/>
              <w:rPr>
                <w:rFonts w:ascii="宋体" w:hAnsi="宋体"/>
                <w:bCs w:val="0"/>
                <w:kern w:val="0"/>
                <w:sz w:val="21"/>
              </w:rPr>
            </w:pPr>
            <w:r>
              <w:rPr>
                <w:rFonts w:ascii="宋体" w:hAnsi="宋体" w:hint="eastAsia"/>
                <w:bCs w:val="0"/>
                <w:kern w:val="0"/>
                <w:sz w:val="21"/>
              </w:rPr>
              <w:t>参考了《2006 年 IPCC 国家温室气体清单指南》以及《省级温室气体清单编制指南（试行）》。</w:t>
            </w:r>
          </w:p>
          <w:p w14:paraId="3D93686A" w14:textId="77777777" w:rsidR="00FD6984" w:rsidRDefault="00000000">
            <w:pPr>
              <w:pStyle w:val="af0"/>
              <w:spacing w:line="240" w:lineRule="auto"/>
              <w:rPr>
                <w:rFonts w:ascii="宋体" w:hAnsi="宋体"/>
                <w:bCs w:val="0"/>
                <w:kern w:val="0"/>
                <w:sz w:val="21"/>
              </w:rPr>
            </w:pPr>
            <w:r>
              <w:rPr>
                <w:rFonts w:ascii="宋体" w:hAnsi="宋体" w:hint="eastAsia"/>
                <w:bCs w:val="0"/>
                <w:kern w:val="0"/>
                <w:sz w:val="21"/>
              </w:rPr>
              <w:t>针对国内具体行业的特点给出了温室气体核算注意事项说明，更加适应我国国情。</w:t>
            </w:r>
          </w:p>
        </w:tc>
      </w:tr>
      <w:tr w:rsidR="00FD6984" w14:paraId="437F21DC" w14:textId="77777777">
        <w:trPr>
          <w:trHeight w:val="465"/>
        </w:trPr>
        <w:tc>
          <w:tcPr>
            <w:tcW w:w="979" w:type="pct"/>
            <w:vAlign w:val="center"/>
          </w:tcPr>
          <w:p w14:paraId="7A003E25" w14:textId="77777777" w:rsidR="00FD6984" w:rsidRDefault="00000000">
            <w:pPr>
              <w:pStyle w:val="af0"/>
              <w:spacing w:line="240" w:lineRule="auto"/>
              <w:rPr>
                <w:rFonts w:ascii="宋体" w:hAnsi="宋体"/>
                <w:bCs w:val="0"/>
                <w:kern w:val="0"/>
                <w:sz w:val="21"/>
              </w:rPr>
            </w:pPr>
            <w:r>
              <w:rPr>
                <w:rFonts w:ascii="宋体" w:hAnsi="宋体" w:hint="eastAsia"/>
                <w:bCs w:val="0"/>
                <w:kern w:val="0"/>
                <w:sz w:val="21"/>
              </w:rPr>
              <w:t>GB/</w:t>
            </w:r>
            <w:r>
              <w:rPr>
                <w:rFonts w:ascii="宋体" w:hAnsi="宋体"/>
                <w:bCs w:val="0"/>
                <w:kern w:val="0"/>
                <w:sz w:val="21"/>
              </w:rPr>
              <w:t xml:space="preserve">T 32150-2015 </w:t>
            </w:r>
            <w:r>
              <w:rPr>
                <w:rFonts w:ascii="宋体" w:hAnsi="宋体" w:hint="eastAsia"/>
                <w:bCs w:val="0"/>
                <w:kern w:val="0"/>
                <w:sz w:val="21"/>
              </w:rPr>
              <w:t>工业企业温室气体排放核算和报告通则</w:t>
            </w:r>
          </w:p>
        </w:tc>
        <w:tc>
          <w:tcPr>
            <w:tcW w:w="1012" w:type="pct"/>
            <w:vAlign w:val="center"/>
          </w:tcPr>
          <w:p w14:paraId="765CF89D" w14:textId="77777777" w:rsidR="00FD6984" w:rsidRDefault="00000000">
            <w:pPr>
              <w:pStyle w:val="af0"/>
              <w:spacing w:line="240" w:lineRule="auto"/>
              <w:rPr>
                <w:rFonts w:ascii="宋体" w:hAnsi="宋体"/>
                <w:bCs w:val="0"/>
                <w:kern w:val="0"/>
                <w:sz w:val="21"/>
              </w:rPr>
            </w:pPr>
            <w:r>
              <w:rPr>
                <w:rFonts w:ascii="宋体" w:hAnsi="宋体" w:hint="eastAsia"/>
                <w:bCs w:val="0"/>
                <w:kern w:val="0"/>
                <w:sz w:val="21"/>
              </w:rPr>
              <w:t>国家发展与改革委员会应对气候变化司提出</w:t>
            </w:r>
          </w:p>
        </w:tc>
        <w:tc>
          <w:tcPr>
            <w:tcW w:w="1157" w:type="pct"/>
            <w:vAlign w:val="center"/>
          </w:tcPr>
          <w:p w14:paraId="67BAA3E2" w14:textId="77777777" w:rsidR="00FD6984" w:rsidRDefault="00000000">
            <w:pPr>
              <w:pStyle w:val="af0"/>
              <w:spacing w:line="240" w:lineRule="auto"/>
              <w:rPr>
                <w:rFonts w:ascii="宋体" w:hAnsi="宋体"/>
                <w:bCs w:val="0"/>
                <w:kern w:val="0"/>
                <w:sz w:val="21"/>
              </w:rPr>
            </w:pPr>
            <w:r>
              <w:rPr>
                <w:rFonts w:ascii="宋体" w:hAnsi="宋体" w:hint="eastAsia"/>
                <w:bCs w:val="0"/>
                <w:kern w:val="0"/>
                <w:sz w:val="21"/>
              </w:rPr>
              <w:t>适用于指导行业温室气体排放核算方法与报告要求标准的编制，也可为工业企业开展温室气体排放核算与报告活动提供方法参考</w:t>
            </w:r>
          </w:p>
        </w:tc>
        <w:tc>
          <w:tcPr>
            <w:tcW w:w="1852" w:type="pct"/>
            <w:vAlign w:val="center"/>
          </w:tcPr>
          <w:p w14:paraId="7E2DF0E3" w14:textId="77777777" w:rsidR="00FD6984" w:rsidRDefault="00000000">
            <w:pPr>
              <w:pStyle w:val="af0"/>
              <w:spacing w:line="240" w:lineRule="auto"/>
              <w:rPr>
                <w:rFonts w:ascii="宋体" w:hAnsi="宋体"/>
                <w:bCs w:val="0"/>
                <w:kern w:val="0"/>
                <w:sz w:val="21"/>
              </w:rPr>
            </w:pPr>
            <w:r>
              <w:rPr>
                <w:rFonts w:ascii="宋体" w:hAnsi="宋体" w:hint="eastAsia"/>
                <w:bCs w:val="0"/>
                <w:kern w:val="0"/>
                <w:sz w:val="21"/>
              </w:rPr>
              <w:t>方法上参考了ISO</w:t>
            </w:r>
            <w:r>
              <w:rPr>
                <w:rFonts w:ascii="宋体" w:hAnsi="宋体"/>
                <w:bCs w:val="0"/>
                <w:kern w:val="0"/>
                <w:sz w:val="21"/>
              </w:rPr>
              <w:t xml:space="preserve"> 14064-1</w:t>
            </w:r>
            <w:r>
              <w:rPr>
                <w:rFonts w:ascii="宋体" w:hAnsi="宋体" w:hint="eastAsia"/>
                <w:bCs w:val="0"/>
                <w:kern w:val="0"/>
                <w:sz w:val="21"/>
              </w:rPr>
              <w:t>标准、《温室气体核算体系：企业核算与报告标准》、《IPCC 国家温室气体清单指南》等文件编制而成。</w:t>
            </w:r>
          </w:p>
        </w:tc>
      </w:tr>
      <w:tr w:rsidR="00FD6984" w14:paraId="5C508594" w14:textId="77777777">
        <w:trPr>
          <w:trHeight w:val="2330"/>
        </w:trPr>
        <w:tc>
          <w:tcPr>
            <w:tcW w:w="979" w:type="pct"/>
            <w:vAlign w:val="center"/>
          </w:tcPr>
          <w:p w14:paraId="7F42D640" w14:textId="77777777" w:rsidR="00FD6984" w:rsidRDefault="00000000">
            <w:pPr>
              <w:pStyle w:val="af0"/>
              <w:spacing w:line="240" w:lineRule="auto"/>
              <w:rPr>
                <w:rFonts w:ascii="宋体" w:hAnsi="宋体"/>
                <w:bCs w:val="0"/>
                <w:kern w:val="0"/>
                <w:sz w:val="21"/>
              </w:rPr>
            </w:pPr>
            <w:r>
              <w:rPr>
                <w:rFonts w:ascii="宋体" w:hAnsi="宋体" w:hint="eastAsia"/>
                <w:bCs w:val="0"/>
                <w:kern w:val="0"/>
                <w:sz w:val="21"/>
              </w:rPr>
              <w:t>《温室气体排放核算与报告要求第1部分：发电企业》等12个国家标准</w:t>
            </w:r>
          </w:p>
        </w:tc>
        <w:tc>
          <w:tcPr>
            <w:tcW w:w="1012" w:type="pct"/>
            <w:vAlign w:val="center"/>
          </w:tcPr>
          <w:p w14:paraId="42225394" w14:textId="77777777" w:rsidR="00FD6984" w:rsidRDefault="00000000">
            <w:pPr>
              <w:pStyle w:val="af0"/>
              <w:spacing w:line="240" w:lineRule="auto"/>
              <w:rPr>
                <w:rFonts w:ascii="宋体" w:hAnsi="宋体"/>
                <w:bCs w:val="0"/>
                <w:kern w:val="0"/>
                <w:sz w:val="21"/>
              </w:rPr>
            </w:pPr>
            <w:r>
              <w:rPr>
                <w:rFonts w:ascii="宋体" w:hAnsi="宋体" w:hint="eastAsia"/>
                <w:bCs w:val="0"/>
                <w:kern w:val="0"/>
                <w:sz w:val="21"/>
              </w:rPr>
              <w:t>国家发展与改革委员会</w:t>
            </w:r>
          </w:p>
        </w:tc>
        <w:tc>
          <w:tcPr>
            <w:tcW w:w="1157" w:type="pct"/>
            <w:vAlign w:val="center"/>
          </w:tcPr>
          <w:p w14:paraId="39ED3832" w14:textId="77777777" w:rsidR="00FD6984" w:rsidRDefault="00000000">
            <w:pPr>
              <w:pStyle w:val="af0"/>
              <w:spacing w:line="240" w:lineRule="auto"/>
              <w:rPr>
                <w:rFonts w:ascii="宋体" w:hAnsi="宋体"/>
                <w:bCs w:val="0"/>
                <w:kern w:val="0"/>
                <w:sz w:val="21"/>
              </w:rPr>
            </w:pPr>
            <w:r>
              <w:rPr>
                <w:rFonts w:ascii="宋体" w:hAnsi="宋体" w:hint="eastAsia"/>
                <w:bCs w:val="0"/>
                <w:kern w:val="0"/>
                <w:sz w:val="21"/>
              </w:rPr>
              <w:t>适用于指导企业温室气体排放核算方法与报告要求</w:t>
            </w:r>
          </w:p>
        </w:tc>
        <w:tc>
          <w:tcPr>
            <w:tcW w:w="1852" w:type="pct"/>
            <w:vAlign w:val="center"/>
          </w:tcPr>
          <w:p w14:paraId="5C91B16D" w14:textId="77777777" w:rsidR="00FD6984" w:rsidRDefault="00000000">
            <w:pPr>
              <w:pStyle w:val="af0"/>
              <w:spacing w:line="240" w:lineRule="auto"/>
              <w:rPr>
                <w:rFonts w:ascii="宋体" w:hAnsi="宋体"/>
                <w:bCs w:val="0"/>
                <w:kern w:val="0"/>
                <w:sz w:val="21"/>
              </w:rPr>
            </w:pPr>
            <w:r>
              <w:rPr>
                <w:rFonts w:ascii="宋体" w:hAnsi="宋体" w:hint="eastAsia"/>
                <w:bCs w:val="0"/>
                <w:kern w:val="0"/>
                <w:sz w:val="21"/>
              </w:rPr>
              <w:t>方法上参考了GB/</w:t>
            </w:r>
            <w:r>
              <w:rPr>
                <w:rFonts w:ascii="宋体" w:hAnsi="宋体"/>
                <w:bCs w:val="0"/>
                <w:kern w:val="0"/>
                <w:sz w:val="21"/>
              </w:rPr>
              <w:t xml:space="preserve">T 32150-2015 </w:t>
            </w:r>
            <w:r>
              <w:rPr>
                <w:rFonts w:ascii="宋体" w:hAnsi="宋体" w:hint="eastAsia"/>
                <w:bCs w:val="0"/>
                <w:kern w:val="0"/>
                <w:sz w:val="21"/>
              </w:rPr>
              <w:t>工业企业温室气体排放核算和报告通则</w:t>
            </w:r>
          </w:p>
        </w:tc>
      </w:tr>
    </w:tbl>
    <w:p w14:paraId="18215696" w14:textId="77777777" w:rsidR="00FD6984" w:rsidRDefault="00FD6984"/>
    <w:p w14:paraId="52036779" w14:textId="77777777" w:rsidR="00FD6984" w:rsidRDefault="00000000">
      <w:pPr>
        <w:pStyle w:val="1"/>
      </w:pPr>
      <w:bookmarkStart w:id="7" w:name="_Toc169876044"/>
      <w:r>
        <w:rPr>
          <w:rFonts w:hint="eastAsia"/>
        </w:rPr>
        <w:lastRenderedPageBreak/>
        <w:t>标准制定的基础条件</w:t>
      </w:r>
      <w:bookmarkEnd w:id="7"/>
    </w:p>
    <w:p w14:paraId="67A56286" w14:textId="77777777" w:rsidR="00FD6984" w:rsidRDefault="00000000">
      <w:pPr>
        <w:pStyle w:val="2"/>
      </w:pPr>
      <w:bookmarkStart w:id="8" w:name="_Toc169876045"/>
      <w:r>
        <w:rPr>
          <w:rFonts w:hint="eastAsia"/>
        </w:rPr>
        <w:t>数据基础</w:t>
      </w:r>
      <w:bookmarkEnd w:id="8"/>
    </w:p>
    <w:p w14:paraId="4EC19927" w14:textId="77777777" w:rsidR="00FD6984" w:rsidRDefault="00000000">
      <w:pPr>
        <w:ind w:firstLineChars="200" w:firstLine="480"/>
      </w:pPr>
      <w:r>
        <w:rPr>
          <w:rFonts w:hint="eastAsia"/>
        </w:rPr>
        <w:t>高速公路联网收费数据是在全国高速公路联网收费系统中，收集、储存、处理和传输的各种数据。这些数据记录了高速公路使用者的各种信息，包括车辆信息、行驶里程、通行时间、支付金额等，以及高速公路路况、交通流量、气象等实时信息。目前，全国高速公路联网收费数据已经覆盖了全国</w:t>
      </w:r>
      <w:r>
        <w:rPr>
          <w:rFonts w:hint="eastAsia"/>
        </w:rPr>
        <w:t>29</w:t>
      </w:r>
      <w:r>
        <w:rPr>
          <w:rFonts w:hint="eastAsia"/>
        </w:rPr>
        <w:t>个小份，高速里程</w:t>
      </w:r>
      <w:r>
        <w:rPr>
          <w:rFonts w:hint="eastAsia"/>
        </w:rPr>
        <w:t>13.6</w:t>
      </w:r>
      <w:r>
        <w:rPr>
          <w:rFonts w:hint="eastAsia"/>
        </w:rPr>
        <w:t>万公里，记录条数超过</w:t>
      </w:r>
      <w:r>
        <w:rPr>
          <w:rFonts w:hint="eastAsia"/>
        </w:rPr>
        <w:t>480</w:t>
      </w:r>
      <w:r>
        <w:rPr>
          <w:rFonts w:hint="eastAsia"/>
        </w:rPr>
        <w:t>亿条，平均每月高达</w:t>
      </w:r>
      <w:r>
        <w:rPr>
          <w:rFonts w:hint="eastAsia"/>
        </w:rPr>
        <w:t>8-8.5</w:t>
      </w:r>
      <w:r>
        <w:rPr>
          <w:rFonts w:hint="eastAsia"/>
        </w:rPr>
        <w:t>亿条。这些数据被广泛应用于高速公路管理、交通规划、安全监控、应急指挥等领域，为提高高速公路的运营效率和服务水平提供了重要的支持和保障。</w:t>
      </w:r>
    </w:p>
    <w:p w14:paraId="741D4B46" w14:textId="77777777" w:rsidR="00FD6984" w:rsidRDefault="00000000">
      <w:pPr>
        <w:ind w:firstLineChars="200" w:firstLine="480"/>
      </w:pPr>
      <w:r>
        <w:rPr>
          <w:rFonts w:hint="eastAsia"/>
        </w:rPr>
        <w:t>2014</w:t>
      </w:r>
      <w:r>
        <w:rPr>
          <w:rFonts w:hint="eastAsia"/>
        </w:rPr>
        <w:t>年，广东省撤除了大量位于主线道路上的收费站，仅保留位于高速公路出入匝道和省界的收费站，实现了全省高速公路联网收费。与联网收费系统相对应，收费数据主要包括车辆的入口区域编码、入口收费站编码、入口时间、入口车道类型、出口区域编码、出口收费站编码、出口时间、出口车道类型等字段。</w:t>
      </w:r>
      <w:r>
        <w:rPr>
          <w:rFonts w:hint="eastAsia"/>
        </w:rPr>
        <w:t>2019</w:t>
      </w:r>
      <w:r>
        <w:rPr>
          <w:rFonts w:hint="eastAsia"/>
        </w:rPr>
        <w:t>年，为加快建设和完善高速公路收费体系，全国各省份实行取消高速公路省界收费站系统工程，广东省高速收费系统也进行了相应的调整。目前，广东省高速收费系统主要采集出入口通行数据和门架数据。基于高速收费数据可得到高速公路高精度的统计数据，主要类型如图</w:t>
      </w:r>
      <w:r>
        <w:rPr>
          <w:rFonts w:hint="eastAsia"/>
        </w:rPr>
        <w:t>2</w:t>
      </w:r>
      <w:r>
        <w:rPr>
          <w:rFonts w:hint="eastAsia"/>
        </w:rPr>
        <w:t>所示。</w:t>
      </w:r>
    </w:p>
    <w:p w14:paraId="22DDC207" w14:textId="77777777" w:rsidR="00FD6984" w:rsidRDefault="00000000">
      <w:pPr>
        <w:pStyle w:val="afb"/>
      </w:pPr>
      <w:r>
        <w:rPr>
          <w:noProof/>
        </w:rPr>
        <w:drawing>
          <wp:inline distT="0" distB="0" distL="0" distR="0" wp14:anchorId="2F11E1AC" wp14:editId="5C0B4CEA">
            <wp:extent cx="2788920" cy="3058160"/>
            <wp:effectExtent l="0" t="0" r="0" b="0"/>
            <wp:docPr id="1114185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1850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99530" cy="3070202"/>
                    </a:xfrm>
                    <a:prstGeom prst="rect">
                      <a:avLst/>
                    </a:prstGeom>
                    <a:noFill/>
                    <a:ln>
                      <a:noFill/>
                    </a:ln>
                  </pic:spPr>
                </pic:pic>
              </a:graphicData>
            </a:graphic>
          </wp:inline>
        </w:drawing>
      </w:r>
    </w:p>
    <w:p w14:paraId="30695B4A" w14:textId="6D069BE2" w:rsidR="00FD6984" w:rsidRDefault="00000000">
      <w:pPr>
        <w:pStyle w:val="a3"/>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CD3467">
        <w:rPr>
          <w:noProof/>
        </w:rPr>
        <w:t>2</w:t>
      </w:r>
      <w:r>
        <w:fldChar w:fldCharType="end"/>
      </w:r>
      <w:r>
        <w:t xml:space="preserve"> </w:t>
      </w:r>
      <w:r>
        <w:rPr>
          <w:rFonts w:hint="eastAsia"/>
        </w:rPr>
        <w:t>基于高速公路联网收费流水的高精度统计数据</w:t>
      </w:r>
    </w:p>
    <w:p w14:paraId="54DFEA11" w14:textId="44B83F47" w:rsidR="00FD6984" w:rsidRDefault="00000000">
      <w:pPr>
        <w:pStyle w:val="a3"/>
        <w:keepNext/>
      </w:pPr>
      <w:r>
        <w:rPr>
          <w:rFonts w:hint="eastAsia"/>
        </w:rPr>
        <w:lastRenderedPageBreak/>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CD3467">
        <w:rPr>
          <w:noProof/>
        </w:rPr>
        <w:t>5</w:t>
      </w:r>
      <w:r>
        <w:fldChar w:fldCharType="end"/>
      </w:r>
      <w:r>
        <w:t xml:space="preserve"> </w:t>
      </w:r>
      <w:r>
        <w:rPr>
          <w:rFonts w:hint="eastAsia"/>
        </w:rPr>
        <w:t>广东省高速收费出入口通行数据字段表</w:t>
      </w:r>
    </w:p>
    <w:tbl>
      <w:tblPr>
        <w:tblStyle w:val="ae"/>
        <w:tblW w:w="0" w:type="auto"/>
        <w:tblLook w:val="04A0" w:firstRow="1" w:lastRow="0" w:firstColumn="1" w:lastColumn="0" w:noHBand="0" w:noVBand="1"/>
      </w:tblPr>
      <w:tblGrid>
        <w:gridCol w:w="559"/>
        <w:gridCol w:w="1598"/>
        <w:gridCol w:w="2557"/>
        <w:gridCol w:w="559"/>
        <w:gridCol w:w="1661"/>
        <w:gridCol w:w="1588"/>
      </w:tblGrid>
      <w:tr w:rsidR="00FD6984" w14:paraId="310807CE" w14:textId="77777777">
        <w:trPr>
          <w:trHeight w:val="255"/>
          <w:tblHeader/>
        </w:trPr>
        <w:tc>
          <w:tcPr>
            <w:tcW w:w="0" w:type="auto"/>
            <w:tcBorders>
              <w:top w:val="single" w:sz="12" w:space="0" w:color="auto"/>
              <w:left w:val="single" w:sz="12" w:space="0" w:color="auto"/>
            </w:tcBorders>
            <w:noWrap/>
            <w:vAlign w:val="center"/>
          </w:tcPr>
          <w:p w14:paraId="2D237341" w14:textId="77777777" w:rsidR="00FD6984" w:rsidRDefault="00000000">
            <w:pPr>
              <w:pStyle w:val="af9"/>
              <w:spacing w:line="240" w:lineRule="auto"/>
            </w:pPr>
            <w:r>
              <w:rPr>
                <w:rFonts w:hint="eastAsia"/>
              </w:rPr>
              <w:t>序号</w:t>
            </w:r>
          </w:p>
        </w:tc>
        <w:tc>
          <w:tcPr>
            <w:tcW w:w="0" w:type="auto"/>
            <w:tcBorders>
              <w:top w:val="single" w:sz="12" w:space="0" w:color="auto"/>
            </w:tcBorders>
            <w:noWrap/>
            <w:vAlign w:val="center"/>
          </w:tcPr>
          <w:p w14:paraId="44095FBA" w14:textId="77777777" w:rsidR="00FD6984" w:rsidRDefault="00000000">
            <w:pPr>
              <w:pStyle w:val="af9"/>
              <w:spacing w:line="240" w:lineRule="auto"/>
            </w:pPr>
            <w:r>
              <w:rPr>
                <w:rFonts w:hint="eastAsia"/>
              </w:rPr>
              <w:t>字段名</w:t>
            </w:r>
          </w:p>
        </w:tc>
        <w:tc>
          <w:tcPr>
            <w:tcW w:w="0" w:type="auto"/>
            <w:tcBorders>
              <w:top w:val="single" w:sz="12" w:space="0" w:color="auto"/>
            </w:tcBorders>
            <w:noWrap/>
            <w:vAlign w:val="center"/>
          </w:tcPr>
          <w:p w14:paraId="36AA379D" w14:textId="77777777" w:rsidR="00FD6984" w:rsidRDefault="00000000">
            <w:pPr>
              <w:pStyle w:val="af9"/>
              <w:spacing w:line="240" w:lineRule="auto"/>
            </w:pPr>
            <w:r>
              <w:rPr>
                <w:rFonts w:hint="eastAsia"/>
              </w:rPr>
              <w:t>字段含义</w:t>
            </w:r>
          </w:p>
        </w:tc>
        <w:tc>
          <w:tcPr>
            <w:tcW w:w="0" w:type="auto"/>
            <w:tcBorders>
              <w:top w:val="single" w:sz="12" w:space="0" w:color="auto"/>
            </w:tcBorders>
            <w:noWrap/>
            <w:vAlign w:val="center"/>
          </w:tcPr>
          <w:p w14:paraId="3B246218" w14:textId="77777777" w:rsidR="00FD6984" w:rsidRDefault="00000000">
            <w:pPr>
              <w:pStyle w:val="af9"/>
              <w:spacing w:line="240" w:lineRule="auto"/>
            </w:pPr>
            <w:r>
              <w:rPr>
                <w:rFonts w:hint="eastAsia"/>
              </w:rPr>
              <w:t>序号</w:t>
            </w:r>
          </w:p>
        </w:tc>
        <w:tc>
          <w:tcPr>
            <w:tcW w:w="0" w:type="auto"/>
            <w:tcBorders>
              <w:top w:val="single" w:sz="12" w:space="0" w:color="auto"/>
            </w:tcBorders>
            <w:noWrap/>
            <w:vAlign w:val="center"/>
          </w:tcPr>
          <w:p w14:paraId="7DD4074F" w14:textId="77777777" w:rsidR="00FD6984" w:rsidRDefault="00000000">
            <w:pPr>
              <w:pStyle w:val="af9"/>
              <w:spacing w:line="240" w:lineRule="auto"/>
            </w:pPr>
            <w:r>
              <w:rPr>
                <w:rFonts w:hint="eastAsia"/>
              </w:rPr>
              <w:t>字段名</w:t>
            </w:r>
          </w:p>
        </w:tc>
        <w:tc>
          <w:tcPr>
            <w:tcW w:w="0" w:type="auto"/>
            <w:tcBorders>
              <w:top w:val="single" w:sz="12" w:space="0" w:color="auto"/>
              <w:right w:val="single" w:sz="12" w:space="0" w:color="auto"/>
            </w:tcBorders>
            <w:noWrap/>
            <w:vAlign w:val="center"/>
          </w:tcPr>
          <w:p w14:paraId="4A2964AC" w14:textId="77777777" w:rsidR="00FD6984" w:rsidRDefault="00000000">
            <w:pPr>
              <w:pStyle w:val="af9"/>
              <w:spacing w:line="240" w:lineRule="auto"/>
            </w:pPr>
            <w:r>
              <w:rPr>
                <w:rFonts w:hint="eastAsia"/>
              </w:rPr>
              <w:t>字段含义</w:t>
            </w:r>
          </w:p>
        </w:tc>
      </w:tr>
      <w:tr w:rsidR="00FD6984" w14:paraId="0468753A" w14:textId="77777777">
        <w:trPr>
          <w:trHeight w:val="255"/>
        </w:trPr>
        <w:tc>
          <w:tcPr>
            <w:tcW w:w="0" w:type="auto"/>
            <w:tcBorders>
              <w:left w:val="single" w:sz="12" w:space="0" w:color="auto"/>
            </w:tcBorders>
            <w:noWrap/>
            <w:vAlign w:val="center"/>
          </w:tcPr>
          <w:p w14:paraId="1C204434" w14:textId="77777777" w:rsidR="00FD6984" w:rsidRDefault="00000000">
            <w:pPr>
              <w:pStyle w:val="af9"/>
              <w:spacing w:line="240" w:lineRule="auto"/>
            </w:pPr>
            <w:r>
              <w:rPr>
                <w:rFonts w:hint="eastAsia"/>
              </w:rPr>
              <w:t>1</w:t>
            </w:r>
          </w:p>
        </w:tc>
        <w:tc>
          <w:tcPr>
            <w:tcW w:w="0" w:type="auto"/>
            <w:noWrap/>
            <w:vAlign w:val="center"/>
          </w:tcPr>
          <w:p w14:paraId="1CE5349E" w14:textId="77777777" w:rsidR="00FD6984" w:rsidRDefault="00000000">
            <w:pPr>
              <w:pStyle w:val="af9"/>
              <w:spacing w:line="240" w:lineRule="auto"/>
            </w:pPr>
            <w:r>
              <w:rPr>
                <w:rFonts w:hint="eastAsia"/>
              </w:rPr>
              <w:t>PASSID</w:t>
            </w:r>
          </w:p>
        </w:tc>
        <w:tc>
          <w:tcPr>
            <w:tcW w:w="0" w:type="auto"/>
            <w:noWrap/>
            <w:vAlign w:val="center"/>
          </w:tcPr>
          <w:p w14:paraId="20204DF1" w14:textId="77777777" w:rsidR="00FD6984" w:rsidRDefault="00000000">
            <w:pPr>
              <w:pStyle w:val="af9"/>
              <w:spacing w:line="240" w:lineRule="auto"/>
            </w:pPr>
            <w:r>
              <w:rPr>
                <w:rFonts w:hint="eastAsia"/>
              </w:rPr>
              <w:t>通行标识</w:t>
            </w:r>
            <w:r>
              <w:rPr>
                <w:rFonts w:hint="eastAsia"/>
              </w:rPr>
              <w:t>ID</w:t>
            </w:r>
          </w:p>
        </w:tc>
        <w:tc>
          <w:tcPr>
            <w:tcW w:w="0" w:type="auto"/>
            <w:noWrap/>
            <w:vAlign w:val="center"/>
          </w:tcPr>
          <w:p w14:paraId="125AE767" w14:textId="77777777" w:rsidR="00FD6984" w:rsidRDefault="00000000">
            <w:pPr>
              <w:pStyle w:val="af9"/>
              <w:spacing w:line="240" w:lineRule="auto"/>
            </w:pPr>
            <w:r>
              <w:rPr>
                <w:rFonts w:hint="eastAsia"/>
              </w:rPr>
              <w:t>13</w:t>
            </w:r>
          </w:p>
        </w:tc>
        <w:tc>
          <w:tcPr>
            <w:tcW w:w="0" w:type="auto"/>
            <w:noWrap/>
            <w:vAlign w:val="center"/>
          </w:tcPr>
          <w:p w14:paraId="446C0D85" w14:textId="77777777" w:rsidR="00FD6984" w:rsidRDefault="00000000">
            <w:pPr>
              <w:pStyle w:val="af9"/>
              <w:spacing w:line="240" w:lineRule="auto"/>
            </w:pPr>
            <w:r>
              <w:rPr>
                <w:rFonts w:hint="eastAsia"/>
              </w:rPr>
              <w:t>EXSTATIONID</w:t>
            </w:r>
          </w:p>
        </w:tc>
        <w:tc>
          <w:tcPr>
            <w:tcW w:w="0" w:type="auto"/>
            <w:tcBorders>
              <w:right w:val="single" w:sz="12" w:space="0" w:color="auto"/>
            </w:tcBorders>
            <w:noWrap/>
            <w:vAlign w:val="center"/>
          </w:tcPr>
          <w:p w14:paraId="004F7C84" w14:textId="77777777" w:rsidR="00FD6984" w:rsidRDefault="00000000">
            <w:pPr>
              <w:pStyle w:val="af9"/>
              <w:spacing w:line="240" w:lineRule="auto"/>
            </w:pPr>
            <w:r>
              <w:rPr>
                <w:rFonts w:hint="eastAsia"/>
              </w:rPr>
              <w:t>出口收费站编号</w:t>
            </w:r>
          </w:p>
        </w:tc>
      </w:tr>
      <w:tr w:rsidR="00FD6984" w14:paraId="2F7276D5" w14:textId="77777777">
        <w:trPr>
          <w:trHeight w:val="255"/>
        </w:trPr>
        <w:tc>
          <w:tcPr>
            <w:tcW w:w="0" w:type="auto"/>
            <w:tcBorders>
              <w:left w:val="single" w:sz="12" w:space="0" w:color="auto"/>
            </w:tcBorders>
            <w:noWrap/>
            <w:vAlign w:val="center"/>
          </w:tcPr>
          <w:p w14:paraId="3665D810" w14:textId="77777777" w:rsidR="00FD6984" w:rsidRDefault="00000000">
            <w:pPr>
              <w:pStyle w:val="af9"/>
              <w:spacing w:line="240" w:lineRule="auto"/>
            </w:pPr>
            <w:r>
              <w:rPr>
                <w:rFonts w:hint="eastAsia"/>
              </w:rPr>
              <w:t>2</w:t>
            </w:r>
          </w:p>
        </w:tc>
        <w:tc>
          <w:tcPr>
            <w:tcW w:w="0" w:type="auto"/>
            <w:noWrap/>
            <w:vAlign w:val="center"/>
          </w:tcPr>
          <w:p w14:paraId="7C1EA32E" w14:textId="77777777" w:rsidR="00FD6984" w:rsidRDefault="00000000">
            <w:pPr>
              <w:pStyle w:val="af9"/>
              <w:spacing w:line="240" w:lineRule="auto"/>
            </w:pPr>
            <w:r>
              <w:rPr>
                <w:rFonts w:hint="eastAsia"/>
              </w:rPr>
              <w:t>MEDIATYPE</w:t>
            </w:r>
          </w:p>
        </w:tc>
        <w:tc>
          <w:tcPr>
            <w:tcW w:w="0" w:type="auto"/>
            <w:noWrap/>
            <w:vAlign w:val="center"/>
          </w:tcPr>
          <w:p w14:paraId="3E670CB4" w14:textId="77777777" w:rsidR="00FD6984" w:rsidRDefault="00000000">
            <w:pPr>
              <w:pStyle w:val="af9"/>
              <w:spacing w:line="240" w:lineRule="auto"/>
            </w:pPr>
            <w:r>
              <w:rPr>
                <w:rFonts w:hint="eastAsia"/>
              </w:rPr>
              <w:t>通行介质类型</w:t>
            </w:r>
          </w:p>
        </w:tc>
        <w:tc>
          <w:tcPr>
            <w:tcW w:w="0" w:type="auto"/>
            <w:noWrap/>
            <w:vAlign w:val="center"/>
          </w:tcPr>
          <w:p w14:paraId="125F2BF0" w14:textId="77777777" w:rsidR="00FD6984" w:rsidRDefault="00000000">
            <w:pPr>
              <w:pStyle w:val="af9"/>
              <w:spacing w:line="240" w:lineRule="auto"/>
            </w:pPr>
            <w:r>
              <w:rPr>
                <w:rFonts w:hint="eastAsia"/>
              </w:rPr>
              <w:t>14</w:t>
            </w:r>
          </w:p>
        </w:tc>
        <w:tc>
          <w:tcPr>
            <w:tcW w:w="0" w:type="auto"/>
            <w:noWrap/>
            <w:vAlign w:val="center"/>
          </w:tcPr>
          <w:p w14:paraId="682541CB" w14:textId="77777777" w:rsidR="00FD6984" w:rsidRDefault="00000000">
            <w:pPr>
              <w:pStyle w:val="af9"/>
              <w:spacing w:line="240" w:lineRule="auto"/>
            </w:pPr>
            <w:r>
              <w:rPr>
                <w:rFonts w:hint="eastAsia"/>
              </w:rPr>
              <w:t>EXSTATIONNAME</w:t>
            </w:r>
          </w:p>
        </w:tc>
        <w:tc>
          <w:tcPr>
            <w:tcW w:w="0" w:type="auto"/>
            <w:tcBorders>
              <w:right w:val="single" w:sz="12" w:space="0" w:color="auto"/>
            </w:tcBorders>
            <w:noWrap/>
            <w:vAlign w:val="center"/>
          </w:tcPr>
          <w:p w14:paraId="7859FE01" w14:textId="77777777" w:rsidR="00FD6984" w:rsidRDefault="00000000">
            <w:pPr>
              <w:pStyle w:val="af9"/>
              <w:spacing w:line="240" w:lineRule="auto"/>
            </w:pPr>
            <w:r>
              <w:rPr>
                <w:rFonts w:hint="eastAsia"/>
              </w:rPr>
              <w:t>出口收费站名称</w:t>
            </w:r>
          </w:p>
        </w:tc>
      </w:tr>
      <w:tr w:rsidR="00FD6984" w14:paraId="3AB75EC4" w14:textId="77777777">
        <w:trPr>
          <w:trHeight w:val="255"/>
        </w:trPr>
        <w:tc>
          <w:tcPr>
            <w:tcW w:w="0" w:type="auto"/>
            <w:tcBorders>
              <w:left w:val="single" w:sz="12" w:space="0" w:color="auto"/>
            </w:tcBorders>
            <w:noWrap/>
            <w:vAlign w:val="center"/>
          </w:tcPr>
          <w:p w14:paraId="554596A1" w14:textId="77777777" w:rsidR="00FD6984" w:rsidRDefault="00000000">
            <w:pPr>
              <w:pStyle w:val="af9"/>
              <w:spacing w:line="240" w:lineRule="auto"/>
            </w:pPr>
            <w:r>
              <w:rPr>
                <w:rFonts w:hint="eastAsia"/>
              </w:rPr>
              <w:t>3</w:t>
            </w:r>
          </w:p>
        </w:tc>
        <w:tc>
          <w:tcPr>
            <w:tcW w:w="0" w:type="auto"/>
            <w:noWrap/>
            <w:vAlign w:val="center"/>
          </w:tcPr>
          <w:p w14:paraId="69B082BD" w14:textId="77777777" w:rsidR="00FD6984" w:rsidRDefault="00000000">
            <w:pPr>
              <w:pStyle w:val="af9"/>
              <w:spacing w:line="240" w:lineRule="auto"/>
            </w:pPr>
            <w:r>
              <w:rPr>
                <w:rFonts w:hint="eastAsia"/>
              </w:rPr>
              <w:t>TOLLMETHOD</w:t>
            </w:r>
          </w:p>
        </w:tc>
        <w:tc>
          <w:tcPr>
            <w:tcW w:w="0" w:type="auto"/>
            <w:noWrap/>
            <w:vAlign w:val="center"/>
          </w:tcPr>
          <w:p w14:paraId="33948E36" w14:textId="77777777" w:rsidR="00FD6984" w:rsidRDefault="00000000">
            <w:pPr>
              <w:pStyle w:val="af9"/>
              <w:spacing w:line="240" w:lineRule="auto"/>
            </w:pPr>
            <w:r>
              <w:rPr>
                <w:rFonts w:hint="eastAsia"/>
              </w:rPr>
              <w:t>计费方式</w:t>
            </w:r>
          </w:p>
        </w:tc>
        <w:tc>
          <w:tcPr>
            <w:tcW w:w="0" w:type="auto"/>
            <w:noWrap/>
            <w:vAlign w:val="center"/>
          </w:tcPr>
          <w:p w14:paraId="652089A1" w14:textId="77777777" w:rsidR="00FD6984" w:rsidRDefault="00000000">
            <w:pPr>
              <w:pStyle w:val="af9"/>
              <w:spacing w:line="240" w:lineRule="auto"/>
            </w:pPr>
            <w:r>
              <w:rPr>
                <w:rFonts w:hint="eastAsia"/>
              </w:rPr>
              <w:t>15</w:t>
            </w:r>
          </w:p>
        </w:tc>
        <w:tc>
          <w:tcPr>
            <w:tcW w:w="0" w:type="auto"/>
            <w:noWrap/>
            <w:vAlign w:val="center"/>
          </w:tcPr>
          <w:p w14:paraId="2C4CC16D" w14:textId="77777777" w:rsidR="00FD6984" w:rsidRDefault="00000000">
            <w:pPr>
              <w:pStyle w:val="af9"/>
              <w:spacing w:line="240" w:lineRule="auto"/>
            </w:pPr>
            <w:r>
              <w:rPr>
                <w:rFonts w:hint="eastAsia"/>
              </w:rPr>
              <w:t>EXTOLLLANTYPE</w:t>
            </w:r>
          </w:p>
        </w:tc>
        <w:tc>
          <w:tcPr>
            <w:tcW w:w="0" w:type="auto"/>
            <w:tcBorders>
              <w:right w:val="single" w:sz="12" w:space="0" w:color="auto"/>
            </w:tcBorders>
            <w:noWrap/>
            <w:vAlign w:val="center"/>
          </w:tcPr>
          <w:p w14:paraId="17A54792" w14:textId="77777777" w:rsidR="00FD6984" w:rsidRDefault="00000000">
            <w:pPr>
              <w:pStyle w:val="af9"/>
              <w:spacing w:line="240" w:lineRule="auto"/>
            </w:pPr>
            <w:r>
              <w:rPr>
                <w:rFonts w:hint="eastAsia"/>
              </w:rPr>
              <w:t>出口车道类型</w:t>
            </w:r>
          </w:p>
        </w:tc>
      </w:tr>
      <w:tr w:rsidR="00FD6984" w14:paraId="38D7FE14" w14:textId="77777777">
        <w:trPr>
          <w:trHeight w:val="255"/>
        </w:trPr>
        <w:tc>
          <w:tcPr>
            <w:tcW w:w="0" w:type="auto"/>
            <w:tcBorders>
              <w:left w:val="single" w:sz="12" w:space="0" w:color="auto"/>
            </w:tcBorders>
            <w:noWrap/>
            <w:vAlign w:val="center"/>
          </w:tcPr>
          <w:p w14:paraId="27BB5DEC" w14:textId="77777777" w:rsidR="00FD6984" w:rsidRDefault="00000000">
            <w:pPr>
              <w:pStyle w:val="af9"/>
              <w:spacing w:line="240" w:lineRule="auto"/>
            </w:pPr>
            <w:r>
              <w:rPr>
                <w:rFonts w:hint="eastAsia"/>
              </w:rPr>
              <w:t>4</w:t>
            </w:r>
          </w:p>
        </w:tc>
        <w:tc>
          <w:tcPr>
            <w:tcW w:w="0" w:type="auto"/>
            <w:noWrap/>
            <w:vAlign w:val="center"/>
          </w:tcPr>
          <w:p w14:paraId="5A0EDC9B" w14:textId="77777777" w:rsidR="00FD6984" w:rsidRDefault="00000000">
            <w:pPr>
              <w:pStyle w:val="af9"/>
              <w:spacing w:line="240" w:lineRule="auto"/>
            </w:pPr>
            <w:r>
              <w:rPr>
                <w:rFonts w:hint="eastAsia"/>
              </w:rPr>
              <w:t>OBUID</w:t>
            </w:r>
          </w:p>
        </w:tc>
        <w:tc>
          <w:tcPr>
            <w:tcW w:w="0" w:type="auto"/>
            <w:noWrap/>
            <w:vAlign w:val="center"/>
          </w:tcPr>
          <w:p w14:paraId="07321728" w14:textId="77777777" w:rsidR="00FD6984" w:rsidRDefault="00000000">
            <w:pPr>
              <w:pStyle w:val="af9"/>
              <w:spacing w:line="240" w:lineRule="auto"/>
            </w:pPr>
            <w:r>
              <w:rPr>
                <w:rFonts w:hint="eastAsia"/>
              </w:rPr>
              <w:t>ETC</w:t>
            </w:r>
            <w:r>
              <w:rPr>
                <w:rFonts w:hint="eastAsia"/>
              </w:rPr>
              <w:t>车辆电子标签的</w:t>
            </w:r>
            <w:r>
              <w:rPr>
                <w:rFonts w:hint="eastAsia"/>
              </w:rPr>
              <w:t>OBU</w:t>
            </w:r>
            <w:r>
              <w:rPr>
                <w:rFonts w:hint="eastAsia"/>
              </w:rPr>
              <w:t>编号</w:t>
            </w:r>
          </w:p>
        </w:tc>
        <w:tc>
          <w:tcPr>
            <w:tcW w:w="0" w:type="auto"/>
            <w:noWrap/>
            <w:vAlign w:val="center"/>
          </w:tcPr>
          <w:p w14:paraId="27AEFBC6" w14:textId="77777777" w:rsidR="00FD6984" w:rsidRDefault="00000000">
            <w:pPr>
              <w:pStyle w:val="af9"/>
              <w:spacing w:line="240" w:lineRule="auto"/>
            </w:pPr>
            <w:r>
              <w:rPr>
                <w:rFonts w:hint="eastAsia"/>
              </w:rPr>
              <w:t>16</w:t>
            </w:r>
          </w:p>
        </w:tc>
        <w:tc>
          <w:tcPr>
            <w:tcW w:w="0" w:type="auto"/>
            <w:noWrap/>
            <w:vAlign w:val="center"/>
          </w:tcPr>
          <w:p w14:paraId="7EFDB524" w14:textId="77777777" w:rsidR="00FD6984" w:rsidRDefault="00000000">
            <w:pPr>
              <w:pStyle w:val="af9"/>
              <w:spacing w:line="240" w:lineRule="auto"/>
            </w:pPr>
            <w:r>
              <w:rPr>
                <w:rFonts w:hint="eastAsia"/>
              </w:rPr>
              <w:t>ENSTATIONID</w:t>
            </w:r>
          </w:p>
        </w:tc>
        <w:tc>
          <w:tcPr>
            <w:tcW w:w="0" w:type="auto"/>
            <w:tcBorders>
              <w:right w:val="single" w:sz="12" w:space="0" w:color="auto"/>
            </w:tcBorders>
            <w:noWrap/>
            <w:vAlign w:val="center"/>
          </w:tcPr>
          <w:p w14:paraId="661B1A97" w14:textId="77777777" w:rsidR="00FD6984" w:rsidRDefault="00000000">
            <w:pPr>
              <w:pStyle w:val="af9"/>
              <w:spacing w:line="240" w:lineRule="auto"/>
            </w:pPr>
            <w:r>
              <w:rPr>
                <w:rFonts w:hint="eastAsia"/>
              </w:rPr>
              <w:t>入口收费站编号</w:t>
            </w:r>
          </w:p>
        </w:tc>
      </w:tr>
      <w:tr w:rsidR="00FD6984" w14:paraId="06E63C2C" w14:textId="77777777">
        <w:trPr>
          <w:trHeight w:val="255"/>
        </w:trPr>
        <w:tc>
          <w:tcPr>
            <w:tcW w:w="0" w:type="auto"/>
            <w:tcBorders>
              <w:left w:val="single" w:sz="12" w:space="0" w:color="auto"/>
            </w:tcBorders>
            <w:noWrap/>
            <w:vAlign w:val="center"/>
          </w:tcPr>
          <w:p w14:paraId="513B1C55" w14:textId="77777777" w:rsidR="00FD6984" w:rsidRDefault="00000000">
            <w:pPr>
              <w:pStyle w:val="af9"/>
              <w:spacing w:line="240" w:lineRule="auto"/>
            </w:pPr>
            <w:r>
              <w:rPr>
                <w:rFonts w:hint="eastAsia"/>
              </w:rPr>
              <w:t>5</w:t>
            </w:r>
          </w:p>
        </w:tc>
        <w:tc>
          <w:tcPr>
            <w:tcW w:w="0" w:type="auto"/>
            <w:noWrap/>
            <w:vAlign w:val="center"/>
          </w:tcPr>
          <w:p w14:paraId="63BAC543" w14:textId="77777777" w:rsidR="00FD6984" w:rsidRDefault="00000000">
            <w:pPr>
              <w:pStyle w:val="af9"/>
              <w:spacing w:line="240" w:lineRule="auto"/>
            </w:pPr>
            <w:r>
              <w:rPr>
                <w:rFonts w:hint="eastAsia"/>
              </w:rPr>
              <w:t>CARDID</w:t>
            </w:r>
          </w:p>
        </w:tc>
        <w:tc>
          <w:tcPr>
            <w:tcW w:w="0" w:type="auto"/>
            <w:noWrap/>
            <w:vAlign w:val="center"/>
          </w:tcPr>
          <w:p w14:paraId="0F2E9A1F" w14:textId="77777777" w:rsidR="00FD6984" w:rsidRDefault="00000000">
            <w:pPr>
              <w:pStyle w:val="af9"/>
              <w:spacing w:line="240" w:lineRule="auto"/>
            </w:pPr>
            <w:r>
              <w:rPr>
                <w:rFonts w:hint="eastAsia"/>
              </w:rPr>
              <w:t>CPC</w:t>
            </w:r>
            <w:r>
              <w:rPr>
                <w:rFonts w:hint="eastAsia"/>
              </w:rPr>
              <w:t>或</w:t>
            </w:r>
            <w:r>
              <w:rPr>
                <w:rFonts w:hint="eastAsia"/>
              </w:rPr>
              <w:t>ETC</w:t>
            </w:r>
            <w:r>
              <w:rPr>
                <w:rFonts w:hint="eastAsia"/>
              </w:rPr>
              <w:t>卡的编号</w:t>
            </w:r>
          </w:p>
        </w:tc>
        <w:tc>
          <w:tcPr>
            <w:tcW w:w="0" w:type="auto"/>
            <w:noWrap/>
            <w:vAlign w:val="center"/>
          </w:tcPr>
          <w:p w14:paraId="09DB57A1" w14:textId="77777777" w:rsidR="00FD6984" w:rsidRDefault="00000000">
            <w:pPr>
              <w:pStyle w:val="af9"/>
              <w:spacing w:line="240" w:lineRule="auto"/>
            </w:pPr>
            <w:r>
              <w:rPr>
                <w:rFonts w:hint="eastAsia"/>
              </w:rPr>
              <w:t>17</w:t>
            </w:r>
          </w:p>
        </w:tc>
        <w:tc>
          <w:tcPr>
            <w:tcW w:w="0" w:type="auto"/>
            <w:noWrap/>
            <w:vAlign w:val="center"/>
          </w:tcPr>
          <w:p w14:paraId="3EBD7017" w14:textId="77777777" w:rsidR="00FD6984" w:rsidRDefault="00000000">
            <w:pPr>
              <w:pStyle w:val="af9"/>
              <w:spacing w:line="240" w:lineRule="auto"/>
            </w:pPr>
            <w:r>
              <w:rPr>
                <w:rFonts w:hint="eastAsia"/>
              </w:rPr>
              <w:t>ENSTATIONNAME</w:t>
            </w:r>
          </w:p>
        </w:tc>
        <w:tc>
          <w:tcPr>
            <w:tcW w:w="0" w:type="auto"/>
            <w:tcBorders>
              <w:right w:val="single" w:sz="12" w:space="0" w:color="auto"/>
            </w:tcBorders>
            <w:noWrap/>
            <w:vAlign w:val="center"/>
          </w:tcPr>
          <w:p w14:paraId="0481E977" w14:textId="77777777" w:rsidR="00FD6984" w:rsidRDefault="00000000">
            <w:pPr>
              <w:pStyle w:val="af9"/>
              <w:spacing w:line="240" w:lineRule="auto"/>
            </w:pPr>
            <w:r>
              <w:rPr>
                <w:rFonts w:hint="eastAsia"/>
              </w:rPr>
              <w:t>入口收费站名称</w:t>
            </w:r>
          </w:p>
        </w:tc>
      </w:tr>
      <w:tr w:rsidR="00FD6984" w14:paraId="52D0E081" w14:textId="77777777">
        <w:trPr>
          <w:trHeight w:val="255"/>
        </w:trPr>
        <w:tc>
          <w:tcPr>
            <w:tcW w:w="0" w:type="auto"/>
            <w:tcBorders>
              <w:left w:val="single" w:sz="12" w:space="0" w:color="auto"/>
            </w:tcBorders>
            <w:noWrap/>
            <w:vAlign w:val="center"/>
          </w:tcPr>
          <w:p w14:paraId="499F1177" w14:textId="77777777" w:rsidR="00FD6984" w:rsidRDefault="00000000">
            <w:pPr>
              <w:pStyle w:val="af9"/>
              <w:spacing w:line="240" w:lineRule="auto"/>
            </w:pPr>
            <w:r>
              <w:rPr>
                <w:rFonts w:hint="eastAsia"/>
              </w:rPr>
              <w:t>6</w:t>
            </w:r>
          </w:p>
        </w:tc>
        <w:tc>
          <w:tcPr>
            <w:tcW w:w="0" w:type="auto"/>
            <w:noWrap/>
            <w:vAlign w:val="center"/>
          </w:tcPr>
          <w:p w14:paraId="766DE5E2" w14:textId="77777777" w:rsidR="00FD6984" w:rsidRDefault="00000000">
            <w:pPr>
              <w:pStyle w:val="af9"/>
              <w:spacing w:line="240" w:lineRule="auto"/>
            </w:pPr>
            <w:r>
              <w:rPr>
                <w:rFonts w:hint="eastAsia"/>
              </w:rPr>
              <w:t>EXTIME</w:t>
            </w:r>
          </w:p>
        </w:tc>
        <w:tc>
          <w:tcPr>
            <w:tcW w:w="0" w:type="auto"/>
            <w:noWrap/>
            <w:vAlign w:val="center"/>
          </w:tcPr>
          <w:p w14:paraId="7118FF44" w14:textId="77777777" w:rsidR="00FD6984" w:rsidRDefault="00000000">
            <w:pPr>
              <w:pStyle w:val="af9"/>
              <w:spacing w:line="240" w:lineRule="auto"/>
            </w:pPr>
            <w:r>
              <w:rPr>
                <w:rFonts w:hint="eastAsia"/>
              </w:rPr>
              <w:t>驶出时间</w:t>
            </w:r>
          </w:p>
        </w:tc>
        <w:tc>
          <w:tcPr>
            <w:tcW w:w="0" w:type="auto"/>
            <w:noWrap/>
            <w:vAlign w:val="center"/>
          </w:tcPr>
          <w:p w14:paraId="6705D0C2" w14:textId="77777777" w:rsidR="00FD6984" w:rsidRDefault="00000000">
            <w:pPr>
              <w:pStyle w:val="af9"/>
              <w:spacing w:line="240" w:lineRule="auto"/>
            </w:pPr>
            <w:r>
              <w:rPr>
                <w:rFonts w:hint="eastAsia"/>
              </w:rPr>
              <w:t>18</w:t>
            </w:r>
          </w:p>
        </w:tc>
        <w:tc>
          <w:tcPr>
            <w:tcW w:w="0" w:type="auto"/>
            <w:noWrap/>
            <w:vAlign w:val="center"/>
          </w:tcPr>
          <w:p w14:paraId="65268275" w14:textId="77777777" w:rsidR="00FD6984" w:rsidRDefault="00000000">
            <w:pPr>
              <w:pStyle w:val="af9"/>
              <w:spacing w:line="240" w:lineRule="auto"/>
            </w:pPr>
            <w:r>
              <w:rPr>
                <w:rFonts w:hint="eastAsia"/>
              </w:rPr>
              <w:t>ENTIME</w:t>
            </w:r>
          </w:p>
        </w:tc>
        <w:tc>
          <w:tcPr>
            <w:tcW w:w="0" w:type="auto"/>
            <w:tcBorders>
              <w:right w:val="single" w:sz="12" w:space="0" w:color="auto"/>
            </w:tcBorders>
            <w:noWrap/>
            <w:vAlign w:val="center"/>
          </w:tcPr>
          <w:p w14:paraId="1167B67F" w14:textId="77777777" w:rsidR="00FD6984" w:rsidRDefault="00000000">
            <w:pPr>
              <w:pStyle w:val="af9"/>
              <w:spacing w:line="240" w:lineRule="auto"/>
            </w:pPr>
            <w:r>
              <w:rPr>
                <w:rFonts w:hint="eastAsia"/>
              </w:rPr>
              <w:t>驶入时间</w:t>
            </w:r>
          </w:p>
        </w:tc>
      </w:tr>
      <w:tr w:rsidR="00FD6984" w14:paraId="055B9F37" w14:textId="77777777">
        <w:trPr>
          <w:trHeight w:val="255"/>
        </w:trPr>
        <w:tc>
          <w:tcPr>
            <w:tcW w:w="0" w:type="auto"/>
            <w:tcBorders>
              <w:left w:val="single" w:sz="12" w:space="0" w:color="auto"/>
            </w:tcBorders>
            <w:noWrap/>
            <w:vAlign w:val="center"/>
          </w:tcPr>
          <w:p w14:paraId="3241A1CF" w14:textId="77777777" w:rsidR="00FD6984" w:rsidRDefault="00000000">
            <w:pPr>
              <w:pStyle w:val="af9"/>
              <w:spacing w:line="240" w:lineRule="auto"/>
            </w:pPr>
            <w:r>
              <w:rPr>
                <w:rFonts w:hint="eastAsia"/>
              </w:rPr>
              <w:t>7</w:t>
            </w:r>
          </w:p>
        </w:tc>
        <w:tc>
          <w:tcPr>
            <w:tcW w:w="0" w:type="auto"/>
            <w:noWrap/>
            <w:vAlign w:val="center"/>
          </w:tcPr>
          <w:p w14:paraId="1AE96016" w14:textId="77777777" w:rsidR="00FD6984" w:rsidRDefault="00000000">
            <w:pPr>
              <w:pStyle w:val="af9"/>
              <w:spacing w:line="240" w:lineRule="auto"/>
            </w:pPr>
            <w:r>
              <w:rPr>
                <w:rFonts w:hint="eastAsia"/>
              </w:rPr>
              <w:t>VEHICLEPLATE</w:t>
            </w:r>
          </w:p>
        </w:tc>
        <w:tc>
          <w:tcPr>
            <w:tcW w:w="0" w:type="auto"/>
            <w:noWrap/>
            <w:vAlign w:val="center"/>
          </w:tcPr>
          <w:p w14:paraId="0617F653" w14:textId="77777777" w:rsidR="00FD6984" w:rsidRDefault="00000000">
            <w:pPr>
              <w:pStyle w:val="af9"/>
              <w:spacing w:line="240" w:lineRule="auto"/>
            </w:pPr>
            <w:bookmarkStart w:id="9" w:name="_Hlk67247673"/>
            <w:r>
              <w:rPr>
                <w:rFonts w:hint="eastAsia"/>
              </w:rPr>
              <w:t>车辆车牌号</w:t>
            </w:r>
            <w:bookmarkEnd w:id="9"/>
          </w:p>
        </w:tc>
        <w:tc>
          <w:tcPr>
            <w:tcW w:w="0" w:type="auto"/>
            <w:noWrap/>
            <w:vAlign w:val="center"/>
          </w:tcPr>
          <w:p w14:paraId="605188D2" w14:textId="77777777" w:rsidR="00FD6984" w:rsidRDefault="00000000">
            <w:pPr>
              <w:pStyle w:val="af9"/>
              <w:spacing w:line="240" w:lineRule="auto"/>
            </w:pPr>
            <w:r>
              <w:rPr>
                <w:rFonts w:hint="eastAsia"/>
              </w:rPr>
              <w:t>19</w:t>
            </w:r>
          </w:p>
        </w:tc>
        <w:tc>
          <w:tcPr>
            <w:tcW w:w="0" w:type="auto"/>
            <w:noWrap/>
            <w:vAlign w:val="center"/>
          </w:tcPr>
          <w:p w14:paraId="32FAC2BF" w14:textId="77777777" w:rsidR="00FD6984" w:rsidRDefault="00000000">
            <w:pPr>
              <w:pStyle w:val="af9"/>
              <w:spacing w:line="240" w:lineRule="auto"/>
            </w:pPr>
            <w:r>
              <w:rPr>
                <w:rFonts w:hint="eastAsia"/>
              </w:rPr>
              <w:t>ENWEIGHT</w:t>
            </w:r>
          </w:p>
        </w:tc>
        <w:tc>
          <w:tcPr>
            <w:tcW w:w="0" w:type="auto"/>
            <w:tcBorders>
              <w:right w:val="single" w:sz="12" w:space="0" w:color="auto"/>
            </w:tcBorders>
            <w:noWrap/>
            <w:vAlign w:val="center"/>
          </w:tcPr>
          <w:p w14:paraId="590DE6C9" w14:textId="77777777" w:rsidR="00FD6984" w:rsidRDefault="00000000">
            <w:pPr>
              <w:pStyle w:val="af9"/>
              <w:spacing w:line="240" w:lineRule="auto"/>
            </w:pPr>
            <w:r>
              <w:rPr>
                <w:rFonts w:hint="eastAsia"/>
              </w:rPr>
              <w:t>入口货车总重</w:t>
            </w:r>
          </w:p>
        </w:tc>
      </w:tr>
      <w:tr w:rsidR="00FD6984" w14:paraId="7DF6A99C" w14:textId="77777777">
        <w:trPr>
          <w:trHeight w:val="255"/>
        </w:trPr>
        <w:tc>
          <w:tcPr>
            <w:tcW w:w="0" w:type="auto"/>
            <w:tcBorders>
              <w:left w:val="single" w:sz="12" w:space="0" w:color="auto"/>
            </w:tcBorders>
            <w:noWrap/>
            <w:vAlign w:val="center"/>
          </w:tcPr>
          <w:p w14:paraId="26F7AD91" w14:textId="77777777" w:rsidR="00FD6984" w:rsidRDefault="00000000">
            <w:pPr>
              <w:pStyle w:val="af9"/>
              <w:spacing w:line="240" w:lineRule="auto"/>
            </w:pPr>
            <w:r>
              <w:rPr>
                <w:rFonts w:hint="eastAsia"/>
              </w:rPr>
              <w:t>8</w:t>
            </w:r>
          </w:p>
        </w:tc>
        <w:tc>
          <w:tcPr>
            <w:tcW w:w="0" w:type="auto"/>
            <w:noWrap/>
            <w:vAlign w:val="center"/>
          </w:tcPr>
          <w:p w14:paraId="06CA4A14" w14:textId="77777777" w:rsidR="00FD6984" w:rsidRDefault="00000000">
            <w:pPr>
              <w:pStyle w:val="af9"/>
              <w:spacing w:line="240" w:lineRule="auto"/>
            </w:pPr>
            <w:r>
              <w:rPr>
                <w:rFonts w:hint="eastAsia"/>
              </w:rPr>
              <w:t>PLATECOLOR</w:t>
            </w:r>
          </w:p>
        </w:tc>
        <w:tc>
          <w:tcPr>
            <w:tcW w:w="0" w:type="auto"/>
            <w:noWrap/>
            <w:vAlign w:val="center"/>
          </w:tcPr>
          <w:p w14:paraId="19888FCC" w14:textId="77777777" w:rsidR="00FD6984" w:rsidRDefault="00000000">
            <w:pPr>
              <w:pStyle w:val="af9"/>
              <w:spacing w:line="240" w:lineRule="auto"/>
            </w:pPr>
            <w:r>
              <w:rPr>
                <w:rFonts w:hint="eastAsia"/>
              </w:rPr>
              <w:t>车辆车牌颜色</w:t>
            </w:r>
          </w:p>
        </w:tc>
        <w:tc>
          <w:tcPr>
            <w:tcW w:w="0" w:type="auto"/>
            <w:noWrap/>
            <w:vAlign w:val="center"/>
          </w:tcPr>
          <w:p w14:paraId="2701573C" w14:textId="77777777" w:rsidR="00FD6984" w:rsidRDefault="00000000">
            <w:pPr>
              <w:pStyle w:val="af9"/>
              <w:spacing w:line="240" w:lineRule="auto"/>
            </w:pPr>
            <w:r>
              <w:rPr>
                <w:rFonts w:hint="eastAsia"/>
              </w:rPr>
              <w:t>20</w:t>
            </w:r>
          </w:p>
        </w:tc>
        <w:tc>
          <w:tcPr>
            <w:tcW w:w="0" w:type="auto"/>
            <w:noWrap/>
            <w:vAlign w:val="center"/>
          </w:tcPr>
          <w:p w14:paraId="797C4F44" w14:textId="77777777" w:rsidR="00FD6984" w:rsidRDefault="00000000">
            <w:pPr>
              <w:pStyle w:val="af9"/>
              <w:spacing w:line="240" w:lineRule="auto"/>
            </w:pPr>
            <w:r>
              <w:rPr>
                <w:rFonts w:hint="eastAsia"/>
              </w:rPr>
              <w:t>MILEAGE</w:t>
            </w:r>
          </w:p>
        </w:tc>
        <w:tc>
          <w:tcPr>
            <w:tcW w:w="0" w:type="auto"/>
            <w:tcBorders>
              <w:right w:val="single" w:sz="12" w:space="0" w:color="auto"/>
            </w:tcBorders>
            <w:noWrap/>
            <w:vAlign w:val="center"/>
          </w:tcPr>
          <w:p w14:paraId="30F9E5EE" w14:textId="77777777" w:rsidR="00FD6984" w:rsidRDefault="00000000">
            <w:pPr>
              <w:pStyle w:val="af9"/>
              <w:spacing w:line="240" w:lineRule="auto"/>
            </w:pPr>
            <w:r>
              <w:rPr>
                <w:rFonts w:hint="eastAsia"/>
              </w:rPr>
              <w:t>计费总里程数</w:t>
            </w:r>
          </w:p>
        </w:tc>
      </w:tr>
      <w:tr w:rsidR="00FD6984" w14:paraId="29CC1D1B" w14:textId="77777777">
        <w:trPr>
          <w:trHeight w:val="255"/>
        </w:trPr>
        <w:tc>
          <w:tcPr>
            <w:tcW w:w="0" w:type="auto"/>
            <w:tcBorders>
              <w:left w:val="single" w:sz="12" w:space="0" w:color="auto"/>
            </w:tcBorders>
            <w:noWrap/>
            <w:vAlign w:val="center"/>
          </w:tcPr>
          <w:p w14:paraId="7AD5B0D1" w14:textId="77777777" w:rsidR="00FD6984" w:rsidRDefault="00000000">
            <w:pPr>
              <w:pStyle w:val="af9"/>
              <w:spacing w:line="240" w:lineRule="auto"/>
            </w:pPr>
            <w:r>
              <w:rPr>
                <w:rFonts w:hint="eastAsia"/>
              </w:rPr>
              <w:t>9</w:t>
            </w:r>
          </w:p>
        </w:tc>
        <w:tc>
          <w:tcPr>
            <w:tcW w:w="0" w:type="auto"/>
            <w:noWrap/>
            <w:vAlign w:val="center"/>
          </w:tcPr>
          <w:p w14:paraId="72ED3889" w14:textId="77777777" w:rsidR="00FD6984" w:rsidRDefault="00000000">
            <w:pPr>
              <w:pStyle w:val="af9"/>
              <w:spacing w:line="240" w:lineRule="auto"/>
            </w:pPr>
            <w:r>
              <w:rPr>
                <w:rFonts w:hint="eastAsia"/>
              </w:rPr>
              <w:t>VEHICLETYPE</w:t>
            </w:r>
          </w:p>
        </w:tc>
        <w:tc>
          <w:tcPr>
            <w:tcW w:w="0" w:type="auto"/>
            <w:noWrap/>
            <w:vAlign w:val="center"/>
          </w:tcPr>
          <w:p w14:paraId="119ECE4B" w14:textId="77777777" w:rsidR="00FD6984" w:rsidRDefault="00000000">
            <w:pPr>
              <w:pStyle w:val="af9"/>
              <w:spacing w:line="240" w:lineRule="auto"/>
            </w:pPr>
            <w:r>
              <w:rPr>
                <w:rFonts w:hint="eastAsia"/>
              </w:rPr>
              <w:t>车型代码</w:t>
            </w:r>
          </w:p>
        </w:tc>
        <w:tc>
          <w:tcPr>
            <w:tcW w:w="0" w:type="auto"/>
            <w:noWrap/>
            <w:vAlign w:val="center"/>
          </w:tcPr>
          <w:p w14:paraId="145CC3BA" w14:textId="77777777" w:rsidR="00FD6984" w:rsidRDefault="00000000">
            <w:pPr>
              <w:pStyle w:val="af9"/>
              <w:spacing w:line="240" w:lineRule="auto"/>
            </w:pPr>
            <w:r>
              <w:rPr>
                <w:rFonts w:hint="eastAsia"/>
              </w:rPr>
              <w:t>21</w:t>
            </w:r>
          </w:p>
        </w:tc>
        <w:tc>
          <w:tcPr>
            <w:tcW w:w="0" w:type="auto"/>
            <w:noWrap/>
            <w:vAlign w:val="center"/>
          </w:tcPr>
          <w:p w14:paraId="45CD7E0D" w14:textId="77777777" w:rsidR="00FD6984" w:rsidRDefault="00000000">
            <w:pPr>
              <w:pStyle w:val="af9"/>
              <w:spacing w:line="240" w:lineRule="auto"/>
            </w:pPr>
            <w:r>
              <w:rPr>
                <w:rFonts w:hint="eastAsia"/>
              </w:rPr>
              <w:t>MINFEEMILE</w:t>
            </w:r>
          </w:p>
        </w:tc>
        <w:tc>
          <w:tcPr>
            <w:tcW w:w="0" w:type="auto"/>
            <w:tcBorders>
              <w:right w:val="single" w:sz="12" w:space="0" w:color="auto"/>
            </w:tcBorders>
            <w:noWrap/>
            <w:vAlign w:val="center"/>
          </w:tcPr>
          <w:p w14:paraId="77699D80" w14:textId="77777777" w:rsidR="00FD6984" w:rsidRDefault="00000000">
            <w:pPr>
              <w:pStyle w:val="af9"/>
              <w:spacing w:line="240" w:lineRule="auto"/>
            </w:pPr>
            <w:r>
              <w:rPr>
                <w:rFonts w:hint="eastAsia"/>
              </w:rPr>
              <w:t>最小费额里程数</w:t>
            </w:r>
          </w:p>
        </w:tc>
      </w:tr>
      <w:tr w:rsidR="00FD6984" w14:paraId="64247F78" w14:textId="77777777">
        <w:trPr>
          <w:trHeight w:val="255"/>
        </w:trPr>
        <w:tc>
          <w:tcPr>
            <w:tcW w:w="0" w:type="auto"/>
            <w:tcBorders>
              <w:left w:val="single" w:sz="12" w:space="0" w:color="auto"/>
            </w:tcBorders>
            <w:noWrap/>
            <w:vAlign w:val="center"/>
          </w:tcPr>
          <w:p w14:paraId="168553FA" w14:textId="77777777" w:rsidR="00FD6984" w:rsidRDefault="00000000">
            <w:pPr>
              <w:pStyle w:val="af9"/>
              <w:spacing w:line="240" w:lineRule="auto"/>
            </w:pPr>
            <w:r>
              <w:rPr>
                <w:rFonts w:hint="eastAsia"/>
              </w:rPr>
              <w:t>10</w:t>
            </w:r>
          </w:p>
        </w:tc>
        <w:tc>
          <w:tcPr>
            <w:tcW w:w="0" w:type="auto"/>
            <w:noWrap/>
            <w:vAlign w:val="center"/>
          </w:tcPr>
          <w:p w14:paraId="13F35605" w14:textId="77777777" w:rsidR="00FD6984" w:rsidRDefault="00000000">
            <w:pPr>
              <w:pStyle w:val="af9"/>
              <w:spacing w:line="240" w:lineRule="auto"/>
            </w:pPr>
            <w:r>
              <w:rPr>
                <w:rFonts w:hint="eastAsia"/>
              </w:rPr>
              <w:t>VEHICCLECLASS</w:t>
            </w:r>
          </w:p>
        </w:tc>
        <w:tc>
          <w:tcPr>
            <w:tcW w:w="0" w:type="auto"/>
            <w:noWrap/>
            <w:vAlign w:val="center"/>
          </w:tcPr>
          <w:p w14:paraId="7937BA21" w14:textId="77777777" w:rsidR="00FD6984" w:rsidRDefault="00000000">
            <w:pPr>
              <w:pStyle w:val="af9"/>
              <w:spacing w:line="240" w:lineRule="auto"/>
            </w:pPr>
            <w:r>
              <w:rPr>
                <w:rFonts w:hint="eastAsia"/>
              </w:rPr>
              <w:t>车种代码</w:t>
            </w:r>
          </w:p>
        </w:tc>
        <w:tc>
          <w:tcPr>
            <w:tcW w:w="0" w:type="auto"/>
            <w:noWrap/>
            <w:vAlign w:val="center"/>
          </w:tcPr>
          <w:p w14:paraId="69EC8CA8" w14:textId="77777777" w:rsidR="00FD6984" w:rsidRDefault="00000000">
            <w:pPr>
              <w:pStyle w:val="af9"/>
              <w:spacing w:line="240" w:lineRule="auto"/>
            </w:pPr>
            <w:r>
              <w:rPr>
                <w:rFonts w:hint="eastAsia"/>
              </w:rPr>
              <w:t>22</w:t>
            </w:r>
          </w:p>
        </w:tc>
        <w:tc>
          <w:tcPr>
            <w:tcW w:w="0" w:type="auto"/>
            <w:noWrap/>
            <w:vAlign w:val="center"/>
          </w:tcPr>
          <w:p w14:paraId="32DCEEDC" w14:textId="77777777" w:rsidR="00FD6984" w:rsidRDefault="00000000">
            <w:pPr>
              <w:pStyle w:val="af9"/>
              <w:spacing w:line="240" w:lineRule="auto"/>
            </w:pPr>
            <w:r>
              <w:rPr>
                <w:rFonts w:hint="eastAsia"/>
              </w:rPr>
              <w:t>ISOPEN</w:t>
            </w:r>
          </w:p>
        </w:tc>
        <w:tc>
          <w:tcPr>
            <w:tcW w:w="0" w:type="auto"/>
            <w:tcBorders>
              <w:right w:val="single" w:sz="12" w:space="0" w:color="auto"/>
            </w:tcBorders>
            <w:noWrap/>
            <w:vAlign w:val="center"/>
          </w:tcPr>
          <w:p w14:paraId="60C441FD" w14:textId="77777777" w:rsidR="00FD6984" w:rsidRDefault="00000000">
            <w:pPr>
              <w:pStyle w:val="af9"/>
              <w:spacing w:line="240" w:lineRule="auto"/>
            </w:pPr>
            <w:r>
              <w:rPr>
                <w:rFonts w:hint="eastAsia"/>
              </w:rPr>
              <w:t>是否开放式收费站</w:t>
            </w:r>
          </w:p>
        </w:tc>
      </w:tr>
      <w:tr w:rsidR="00FD6984" w14:paraId="21E24FA1" w14:textId="77777777">
        <w:trPr>
          <w:trHeight w:val="255"/>
        </w:trPr>
        <w:tc>
          <w:tcPr>
            <w:tcW w:w="0" w:type="auto"/>
            <w:tcBorders>
              <w:left w:val="single" w:sz="12" w:space="0" w:color="auto"/>
            </w:tcBorders>
            <w:noWrap/>
            <w:vAlign w:val="center"/>
          </w:tcPr>
          <w:p w14:paraId="673B0265" w14:textId="77777777" w:rsidR="00FD6984" w:rsidRDefault="00000000">
            <w:pPr>
              <w:pStyle w:val="af9"/>
              <w:spacing w:line="240" w:lineRule="auto"/>
            </w:pPr>
            <w:r>
              <w:rPr>
                <w:rFonts w:hint="eastAsia"/>
              </w:rPr>
              <w:t>11</w:t>
            </w:r>
          </w:p>
        </w:tc>
        <w:tc>
          <w:tcPr>
            <w:tcW w:w="0" w:type="auto"/>
            <w:noWrap/>
            <w:vAlign w:val="center"/>
          </w:tcPr>
          <w:p w14:paraId="5DD7DACB" w14:textId="77777777" w:rsidR="00FD6984" w:rsidRDefault="00000000">
            <w:pPr>
              <w:pStyle w:val="af9"/>
              <w:spacing w:line="240" w:lineRule="auto"/>
            </w:pPr>
            <w:r>
              <w:rPr>
                <w:rFonts w:hint="eastAsia"/>
              </w:rPr>
              <w:t>EXWEIGHT</w:t>
            </w:r>
          </w:p>
        </w:tc>
        <w:tc>
          <w:tcPr>
            <w:tcW w:w="0" w:type="auto"/>
            <w:noWrap/>
            <w:vAlign w:val="center"/>
          </w:tcPr>
          <w:p w14:paraId="3CF1927C" w14:textId="77777777" w:rsidR="00FD6984" w:rsidRDefault="00000000">
            <w:pPr>
              <w:pStyle w:val="af9"/>
              <w:spacing w:line="240" w:lineRule="auto"/>
            </w:pPr>
            <w:r>
              <w:rPr>
                <w:rFonts w:hint="eastAsia"/>
              </w:rPr>
              <w:t>出口货车总重</w:t>
            </w:r>
          </w:p>
        </w:tc>
        <w:tc>
          <w:tcPr>
            <w:tcW w:w="0" w:type="auto"/>
            <w:noWrap/>
            <w:vAlign w:val="center"/>
          </w:tcPr>
          <w:p w14:paraId="1A8D78BD" w14:textId="77777777" w:rsidR="00FD6984" w:rsidRDefault="00000000">
            <w:pPr>
              <w:pStyle w:val="af9"/>
              <w:spacing w:line="240" w:lineRule="auto"/>
            </w:pPr>
            <w:r>
              <w:rPr>
                <w:rFonts w:hint="eastAsia"/>
              </w:rPr>
              <w:t>23</w:t>
            </w:r>
          </w:p>
        </w:tc>
        <w:tc>
          <w:tcPr>
            <w:tcW w:w="0" w:type="auto"/>
            <w:noWrap/>
            <w:vAlign w:val="center"/>
          </w:tcPr>
          <w:p w14:paraId="405DAE65" w14:textId="77777777" w:rsidR="00FD6984" w:rsidRDefault="00000000">
            <w:pPr>
              <w:pStyle w:val="af9"/>
              <w:spacing w:line="240" w:lineRule="auto"/>
            </w:pPr>
            <w:r>
              <w:rPr>
                <w:rFonts w:hint="eastAsia"/>
              </w:rPr>
              <w:t>PAYTYPE</w:t>
            </w:r>
          </w:p>
        </w:tc>
        <w:tc>
          <w:tcPr>
            <w:tcW w:w="0" w:type="auto"/>
            <w:tcBorders>
              <w:right w:val="single" w:sz="12" w:space="0" w:color="auto"/>
            </w:tcBorders>
            <w:noWrap/>
            <w:vAlign w:val="center"/>
          </w:tcPr>
          <w:p w14:paraId="64F83A52" w14:textId="77777777" w:rsidR="00FD6984" w:rsidRDefault="00000000">
            <w:pPr>
              <w:pStyle w:val="af9"/>
              <w:spacing w:line="240" w:lineRule="auto"/>
            </w:pPr>
            <w:r>
              <w:rPr>
                <w:rFonts w:hint="eastAsia"/>
              </w:rPr>
              <w:t>通行费支付方式</w:t>
            </w:r>
          </w:p>
        </w:tc>
      </w:tr>
      <w:tr w:rsidR="00FD6984" w14:paraId="2A953F12" w14:textId="77777777">
        <w:trPr>
          <w:trHeight w:val="255"/>
        </w:trPr>
        <w:tc>
          <w:tcPr>
            <w:tcW w:w="0" w:type="auto"/>
            <w:tcBorders>
              <w:left w:val="single" w:sz="12" w:space="0" w:color="auto"/>
              <w:bottom w:val="single" w:sz="12" w:space="0" w:color="auto"/>
            </w:tcBorders>
            <w:noWrap/>
            <w:vAlign w:val="center"/>
          </w:tcPr>
          <w:p w14:paraId="0215A64A" w14:textId="77777777" w:rsidR="00FD6984" w:rsidRDefault="00000000">
            <w:pPr>
              <w:pStyle w:val="af9"/>
              <w:spacing w:line="240" w:lineRule="auto"/>
            </w:pPr>
            <w:r>
              <w:rPr>
                <w:rFonts w:hint="eastAsia"/>
              </w:rPr>
              <w:t>12</w:t>
            </w:r>
          </w:p>
        </w:tc>
        <w:tc>
          <w:tcPr>
            <w:tcW w:w="0" w:type="auto"/>
            <w:tcBorders>
              <w:bottom w:val="single" w:sz="12" w:space="0" w:color="auto"/>
            </w:tcBorders>
            <w:noWrap/>
            <w:vAlign w:val="center"/>
          </w:tcPr>
          <w:p w14:paraId="13990D59" w14:textId="77777777" w:rsidR="00FD6984" w:rsidRDefault="00000000">
            <w:pPr>
              <w:pStyle w:val="af9"/>
              <w:spacing w:line="240" w:lineRule="auto"/>
            </w:pPr>
            <w:r>
              <w:rPr>
                <w:rFonts w:hint="eastAsia"/>
              </w:rPr>
              <w:t>AXLECOUNT</w:t>
            </w:r>
          </w:p>
        </w:tc>
        <w:tc>
          <w:tcPr>
            <w:tcW w:w="0" w:type="auto"/>
            <w:tcBorders>
              <w:bottom w:val="single" w:sz="12" w:space="0" w:color="auto"/>
            </w:tcBorders>
            <w:noWrap/>
            <w:vAlign w:val="center"/>
          </w:tcPr>
          <w:p w14:paraId="71A1C61B" w14:textId="77777777" w:rsidR="00FD6984" w:rsidRDefault="00000000">
            <w:pPr>
              <w:pStyle w:val="af9"/>
              <w:spacing w:line="240" w:lineRule="auto"/>
            </w:pPr>
            <w:proofErr w:type="gramStart"/>
            <w:r>
              <w:rPr>
                <w:rFonts w:hint="eastAsia"/>
              </w:rPr>
              <w:t>总轴数</w:t>
            </w:r>
            <w:proofErr w:type="gramEnd"/>
          </w:p>
        </w:tc>
        <w:tc>
          <w:tcPr>
            <w:tcW w:w="0" w:type="auto"/>
            <w:tcBorders>
              <w:bottom w:val="single" w:sz="12" w:space="0" w:color="auto"/>
            </w:tcBorders>
            <w:noWrap/>
            <w:vAlign w:val="center"/>
          </w:tcPr>
          <w:p w14:paraId="6639E22F" w14:textId="77777777" w:rsidR="00FD6984" w:rsidRDefault="00FD6984">
            <w:pPr>
              <w:pStyle w:val="af9"/>
              <w:spacing w:line="240" w:lineRule="auto"/>
            </w:pPr>
          </w:p>
        </w:tc>
        <w:tc>
          <w:tcPr>
            <w:tcW w:w="0" w:type="auto"/>
            <w:tcBorders>
              <w:bottom w:val="single" w:sz="12" w:space="0" w:color="auto"/>
            </w:tcBorders>
            <w:noWrap/>
            <w:vAlign w:val="center"/>
          </w:tcPr>
          <w:p w14:paraId="55A6FFF6" w14:textId="77777777" w:rsidR="00FD6984" w:rsidRDefault="00FD6984">
            <w:pPr>
              <w:pStyle w:val="af9"/>
              <w:spacing w:line="240" w:lineRule="auto"/>
            </w:pPr>
          </w:p>
        </w:tc>
        <w:tc>
          <w:tcPr>
            <w:tcW w:w="0" w:type="auto"/>
            <w:tcBorders>
              <w:bottom w:val="single" w:sz="12" w:space="0" w:color="auto"/>
              <w:right w:val="single" w:sz="12" w:space="0" w:color="auto"/>
            </w:tcBorders>
            <w:noWrap/>
            <w:vAlign w:val="center"/>
          </w:tcPr>
          <w:p w14:paraId="02B666E0" w14:textId="77777777" w:rsidR="00FD6984" w:rsidRDefault="00FD6984">
            <w:pPr>
              <w:pStyle w:val="af9"/>
              <w:spacing w:line="240" w:lineRule="auto"/>
            </w:pPr>
          </w:p>
        </w:tc>
      </w:tr>
    </w:tbl>
    <w:p w14:paraId="3AA16903" w14:textId="77777777" w:rsidR="00FD6984" w:rsidRDefault="00FD6984">
      <w:pPr>
        <w:ind w:firstLineChars="200" w:firstLine="480"/>
      </w:pPr>
    </w:p>
    <w:p w14:paraId="5D466FE8" w14:textId="77777777" w:rsidR="00FD6984" w:rsidRDefault="00000000">
      <w:pPr>
        <w:pStyle w:val="afb"/>
        <w:keepNext/>
      </w:pPr>
      <w:r>
        <w:rPr>
          <w:noProof/>
        </w:rPr>
        <w:drawing>
          <wp:inline distT="0" distB="0" distL="0" distR="0" wp14:anchorId="38928726" wp14:editId="685783FC">
            <wp:extent cx="5274310" cy="942975"/>
            <wp:effectExtent l="0" t="0" r="0" b="0"/>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pic:cNvPicPr>
                  </pic:nvPicPr>
                  <pic:blipFill>
                    <a:blip r:embed="rId15"/>
                    <a:stretch>
                      <a:fillRect/>
                    </a:stretch>
                  </pic:blipFill>
                  <pic:spPr>
                    <a:xfrm>
                      <a:off x="0" y="0"/>
                      <a:ext cx="5274310" cy="942975"/>
                    </a:xfrm>
                    <a:prstGeom prst="rect">
                      <a:avLst/>
                    </a:prstGeom>
                  </pic:spPr>
                </pic:pic>
              </a:graphicData>
            </a:graphic>
          </wp:inline>
        </w:drawing>
      </w:r>
    </w:p>
    <w:p w14:paraId="723FEC9F" w14:textId="6CF12E35" w:rsidR="00FD6984" w:rsidRDefault="00000000">
      <w:pPr>
        <w:pStyle w:val="a3"/>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CD3467">
        <w:rPr>
          <w:noProof/>
        </w:rPr>
        <w:t>3</w:t>
      </w:r>
      <w:r>
        <w:fldChar w:fldCharType="end"/>
      </w:r>
      <w:r>
        <w:t xml:space="preserve"> </w:t>
      </w:r>
      <w:r>
        <w:rPr>
          <w:rFonts w:hint="eastAsia"/>
        </w:rPr>
        <w:t>收费站交通量数据样例</w:t>
      </w:r>
    </w:p>
    <w:p w14:paraId="19658BB2" w14:textId="77777777" w:rsidR="00FD6984" w:rsidRDefault="00FD6984">
      <w:pPr>
        <w:ind w:firstLineChars="200" w:firstLine="480"/>
      </w:pPr>
    </w:p>
    <w:p w14:paraId="67ACEFEC" w14:textId="77777777" w:rsidR="00FD6984" w:rsidRDefault="00000000">
      <w:pPr>
        <w:pStyle w:val="afb"/>
        <w:keepNext/>
      </w:pPr>
      <w:r>
        <w:rPr>
          <w:noProof/>
        </w:rPr>
        <w:drawing>
          <wp:inline distT="0" distB="0" distL="0" distR="0" wp14:anchorId="006F49D2" wp14:editId="486FA6A6">
            <wp:extent cx="5274310" cy="133032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6"/>
                    <a:stretch>
                      <a:fillRect/>
                    </a:stretch>
                  </pic:blipFill>
                  <pic:spPr>
                    <a:xfrm>
                      <a:off x="0" y="0"/>
                      <a:ext cx="5274310" cy="1330325"/>
                    </a:xfrm>
                    <a:prstGeom prst="rect">
                      <a:avLst/>
                    </a:prstGeom>
                  </pic:spPr>
                </pic:pic>
              </a:graphicData>
            </a:graphic>
          </wp:inline>
        </w:drawing>
      </w:r>
    </w:p>
    <w:p w14:paraId="707D1CC7" w14:textId="2063EEAB" w:rsidR="00FD6984" w:rsidRDefault="00000000">
      <w:pPr>
        <w:pStyle w:val="a3"/>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CD3467">
        <w:rPr>
          <w:noProof/>
        </w:rPr>
        <w:t>4</w:t>
      </w:r>
      <w:r>
        <w:fldChar w:fldCharType="end"/>
      </w:r>
      <w:r>
        <w:t xml:space="preserve"> </w:t>
      </w:r>
      <w:r>
        <w:rPr>
          <w:rFonts w:hint="eastAsia"/>
        </w:rPr>
        <w:t>主线路段交通量数据样例</w:t>
      </w:r>
    </w:p>
    <w:p w14:paraId="0AC5FBA7" w14:textId="77777777" w:rsidR="00FD6984" w:rsidRDefault="00000000">
      <w:pPr>
        <w:pStyle w:val="afb"/>
      </w:pPr>
      <w:r>
        <w:rPr>
          <w:noProof/>
        </w:rPr>
        <w:lastRenderedPageBreak/>
        <w:drawing>
          <wp:inline distT="0" distB="0" distL="0" distR="0" wp14:anchorId="7E591255" wp14:editId="3A213EFD">
            <wp:extent cx="5274310" cy="1854200"/>
            <wp:effectExtent l="0" t="0" r="0" b="0"/>
            <wp:docPr id="16463151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315111" name="图片 1"/>
                    <pic:cNvPicPr>
                      <a:picLocks noChangeAspect="1"/>
                    </pic:cNvPicPr>
                  </pic:nvPicPr>
                  <pic:blipFill>
                    <a:blip r:embed="rId17"/>
                    <a:srcRect t="5440"/>
                    <a:stretch>
                      <a:fillRect/>
                    </a:stretch>
                  </pic:blipFill>
                  <pic:spPr>
                    <a:xfrm>
                      <a:off x="0" y="0"/>
                      <a:ext cx="5274310" cy="1854200"/>
                    </a:xfrm>
                    <a:prstGeom prst="rect">
                      <a:avLst/>
                    </a:prstGeom>
                    <a:ln>
                      <a:noFill/>
                    </a:ln>
                  </pic:spPr>
                </pic:pic>
              </a:graphicData>
            </a:graphic>
          </wp:inline>
        </w:drawing>
      </w:r>
    </w:p>
    <w:p w14:paraId="6853E4CC" w14:textId="6E0B5CF8" w:rsidR="00FD6984" w:rsidRDefault="00000000">
      <w:pPr>
        <w:pStyle w:val="a3"/>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CD3467">
        <w:rPr>
          <w:noProof/>
        </w:rPr>
        <w:t>5</w:t>
      </w:r>
      <w:r>
        <w:fldChar w:fldCharType="end"/>
      </w:r>
      <w:r>
        <w:t xml:space="preserve"> </w:t>
      </w:r>
      <w:r>
        <w:rPr>
          <w:rFonts w:hint="eastAsia"/>
        </w:rPr>
        <w:t>速度数据样例</w:t>
      </w:r>
    </w:p>
    <w:p w14:paraId="757D499C" w14:textId="77777777" w:rsidR="00FD6984" w:rsidRDefault="00FD6984">
      <w:pPr>
        <w:ind w:firstLineChars="200" w:firstLine="480"/>
      </w:pPr>
    </w:p>
    <w:p w14:paraId="627DEE44" w14:textId="77777777" w:rsidR="00FD6984" w:rsidRDefault="00000000">
      <w:pPr>
        <w:pStyle w:val="2"/>
      </w:pPr>
      <w:bookmarkStart w:id="10" w:name="_Toc169876046"/>
      <w:r>
        <w:rPr>
          <w:rFonts w:hint="eastAsia"/>
        </w:rPr>
        <w:t>方法基础</w:t>
      </w:r>
      <w:bookmarkEnd w:id="10"/>
    </w:p>
    <w:p w14:paraId="142A85A4" w14:textId="77777777" w:rsidR="00FD6984" w:rsidRDefault="00000000">
      <w:pPr>
        <w:ind w:firstLineChars="200" w:firstLine="480"/>
      </w:pPr>
      <w:r>
        <w:rPr>
          <w:rFonts w:hint="eastAsia"/>
        </w:rPr>
        <w:t>目前，关于碳排放核算的方法可以划分为三类：分别是排放因子法、物料平衡法以及实测法。排放因子法适用于国家、省级、城市等区域层面的碳排放核算；物料平衡法适用于工业生产，如化石和钢铁行业；实测</w:t>
      </w:r>
      <w:proofErr w:type="gramStart"/>
      <w:r>
        <w:rPr>
          <w:rFonts w:hint="eastAsia"/>
        </w:rPr>
        <w:t>法成本</w:t>
      </w:r>
      <w:proofErr w:type="gramEnd"/>
      <w:r>
        <w:rPr>
          <w:rFonts w:hint="eastAsia"/>
        </w:rPr>
        <w:t>较高，适用于小范围的检测和科学研究。</w:t>
      </w:r>
      <w:r>
        <w:br w:type="page"/>
      </w:r>
    </w:p>
    <w:p w14:paraId="3E559D60" w14:textId="79EAEAF9" w:rsidR="00FD6984" w:rsidRDefault="00000000">
      <w:pPr>
        <w:pStyle w:val="a3"/>
        <w:keepNext/>
      </w:pPr>
      <w:r>
        <w:rPr>
          <w:rFonts w:hint="eastAsia"/>
        </w:rPr>
        <w:lastRenderedPageBreak/>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CD3467">
        <w:rPr>
          <w:noProof/>
        </w:rPr>
        <w:t>6</w:t>
      </w:r>
      <w:r>
        <w:fldChar w:fldCharType="end"/>
      </w:r>
      <w:r>
        <w:t xml:space="preserve"> </w:t>
      </w:r>
      <w:r>
        <w:rPr>
          <w:rFonts w:hint="eastAsia"/>
        </w:rPr>
        <w:t>主要的碳排放核算方法</w:t>
      </w:r>
    </w:p>
    <w:tbl>
      <w:tblPr>
        <w:tblStyle w:val="ae"/>
        <w:tblW w:w="0" w:type="auto"/>
        <w:tblLook w:val="04A0" w:firstRow="1" w:lastRow="0" w:firstColumn="1" w:lastColumn="0" w:noHBand="0" w:noVBand="1"/>
      </w:tblPr>
      <w:tblGrid>
        <w:gridCol w:w="1271"/>
        <w:gridCol w:w="1985"/>
        <w:gridCol w:w="1843"/>
        <w:gridCol w:w="1645"/>
        <w:gridCol w:w="1778"/>
      </w:tblGrid>
      <w:tr w:rsidR="00FD6984" w14:paraId="17C18C95" w14:textId="77777777">
        <w:trPr>
          <w:trHeight w:val="445"/>
          <w:tblHeader/>
        </w:trPr>
        <w:tc>
          <w:tcPr>
            <w:tcW w:w="1271" w:type="dxa"/>
            <w:tcBorders>
              <w:top w:val="single" w:sz="12" w:space="0" w:color="auto"/>
              <w:left w:val="single" w:sz="12" w:space="0" w:color="auto"/>
            </w:tcBorders>
            <w:vAlign w:val="center"/>
          </w:tcPr>
          <w:p w14:paraId="75833993" w14:textId="77777777" w:rsidR="00FD6984" w:rsidRDefault="00000000">
            <w:pPr>
              <w:pStyle w:val="af9"/>
            </w:pPr>
            <w:r>
              <w:rPr>
                <w:rFonts w:hint="eastAsia"/>
              </w:rPr>
              <w:t>测算方法</w:t>
            </w:r>
          </w:p>
        </w:tc>
        <w:tc>
          <w:tcPr>
            <w:tcW w:w="1985" w:type="dxa"/>
            <w:tcBorders>
              <w:top w:val="single" w:sz="12" w:space="0" w:color="auto"/>
            </w:tcBorders>
            <w:vAlign w:val="center"/>
          </w:tcPr>
          <w:p w14:paraId="4644A41A" w14:textId="77777777" w:rsidR="00FD6984" w:rsidRDefault="00000000">
            <w:pPr>
              <w:pStyle w:val="af9"/>
            </w:pPr>
            <w:r>
              <w:rPr>
                <w:rFonts w:hint="eastAsia"/>
              </w:rPr>
              <w:t>基本原理</w:t>
            </w:r>
          </w:p>
        </w:tc>
        <w:tc>
          <w:tcPr>
            <w:tcW w:w="1843" w:type="dxa"/>
            <w:tcBorders>
              <w:top w:val="single" w:sz="12" w:space="0" w:color="auto"/>
            </w:tcBorders>
            <w:vAlign w:val="center"/>
          </w:tcPr>
          <w:p w14:paraId="52586245" w14:textId="77777777" w:rsidR="00FD6984" w:rsidRDefault="00000000">
            <w:pPr>
              <w:pStyle w:val="af9"/>
            </w:pPr>
            <w:r>
              <w:rPr>
                <w:rFonts w:hint="eastAsia"/>
              </w:rPr>
              <w:t>计算公式</w:t>
            </w:r>
          </w:p>
        </w:tc>
        <w:tc>
          <w:tcPr>
            <w:tcW w:w="0" w:type="auto"/>
            <w:tcBorders>
              <w:top w:val="single" w:sz="12" w:space="0" w:color="auto"/>
            </w:tcBorders>
            <w:vAlign w:val="center"/>
          </w:tcPr>
          <w:p w14:paraId="23BECF54" w14:textId="77777777" w:rsidR="00FD6984" w:rsidRDefault="00000000">
            <w:pPr>
              <w:pStyle w:val="af9"/>
            </w:pPr>
            <w:r>
              <w:rPr>
                <w:rFonts w:hint="eastAsia"/>
              </w:rPr>
              <w:t>适用范围</w:t>
            </w:r>
          </w:p>
        </w:tc>
        <w:tc>
          <w:tcPr>
            <w:tcW w:w="0" w:type="auto"/>
            <w:tcBorders>
              <w:top w:val="single" w:sz="12" w:space="0" w:color="auto"/>
              <w:right w:val="single" w:sz="12" w:space="0" w:color="auto"/>
            </w:tcBorders>
            <w:vAlign w:val="center"/>
          </w:tcPr>
          <w:p w14:paraId="6A249052" w14:textId="77777777" w:rsidR="00FD6984" w:rsidRDefault="00000000">
            <w:pPr>
              <w:pStyle w:val="af9"/>
            </w:pPr>
            <w:r>
              <w:rPr>
                <w:rFonts w:hint="eastAsia"/>
              </w:rPr>
              <w:t>优缺点</w:t>
            </w:r>
          </w:p>
        </w:tc>
      </w:tr>
      <w:tr w:rsidR="00FD6984" w14:paraId="49A2F6BE" w14:textId="77777777">
        <w:trPr>
          <w:trHeight w:val="2643"/>
        </w:trPr>
        <w:tc>
          <w:tcPr>
            <w:tcW w:w="1271" w:type="dxa"/>
            <w:tcBorders>
              <w:left w:val="single" w:sz="12" w:space="0" w:color="auto"/>
            </w:tcBorders>
            <w:vAlign w:val="center"/>
          </w:tcPr>
          <w:p w14:paraId="773AEE17" w14:textId="77777777" w:rsidR="00FD6984" w:rsidRDefault="00000000">
            <w:pPr>
              <w:pStyle w:val="af9"/>
            </w:pPr>
            <w:r>
              <w:rPr>
                <w:rFonts w:hint="eastAsia"/>
              </w:rPr>
              <w:t>排放因子法</w:t>
            </w:r>
          </w:p>
        </w:tc>
        <w:tc>
          <w:tcPr>
            <w:tcW w:w="1985" w:type="dxa"/>
            <w:vAlign w:val="center"/>
          </w:tcPr>
          <w:p w14:paraId="2ACCF0E0" w14:textId="77777777" w:rsidR="00FD6984" w:rsidRDefault="00000000">
            <w:pPr>
              <w:pStyle w:val="af9"/>
            </w:pPr>
            <w:r>
              <w:rPr>
                <w:rFonts w:hint="eastAsia"/>
              </w:rPr>
              <w:t>对每一种排放源构造活动数据与排放因子，以能源使用量和排放因子的乘积作为该排放源的碳排放量估算值</w:t>
            </w:r>
          </w:p>
        </w:tc>
        <w:tc>
          <w:tcPr>
            <w:tcW w:w="1843" w:type="dxa"/>
            <w:vAlign w:val="center"/>
          </w:tcPr>
          <w:p w14:paraId="1341996B" w14:textId="77777777" w:rsidR="00FD6984" w:rsidRDefault="00000000">
            <w:pPr>
              <w:pStyle w:val="af9"/>
            </w:pPr>
            <w:r>
              <w:rPr>
                <w:rFonts w:hint="eastAsia"/>
              </w:rPr>
              <w:t>排放量</w:t>
            </w:r>
            <w:r>
              <w:rPr>
                <w:rFonts w:hint="eastAsia"/>
              </w:rPr>
              <w:t>=</w:t>
            </w:r>
            <w:r>
              <w:rPr>
                <w:rFonts w:hint="eastAsia"/>
              </w:rPr>
              <w:t>投入的能源使用量×排放因子</w:t>
            </w:r>
          </w:p>
        </w:tc>
        <w:tc>
          <w:tcPr>
            <w:tcW w:w="0" w:type="auto"/>
            <w:vAlign w:val="center"/>
          </w:tcPr>
          <w:p w14:paraId="56A761C1" w14:textId="77777777" w:rsidR="00FD6984" w:rsidRDefault="00000000">
            <w:pPr>
              <w:pStyle w:val="af9"/>
            </w:pPr>
            <w:r>
              <w:rPr>
                <w:rFonts w:hint="eastAsia"/>
              </w:rPr>
              <w:t>适用于国家、省份、城市等区域层面的核算</w:t>
            </w:r>
          </w:p>
        </w:tc>
        <w:tc>
          <w:tcPr>
            <w:tcW w:w="0" w:type="auto"/>
            <w:tcBorders>
              <w:right w:val="single" w:sz="12" w:space="0" w:color="auto"/>
            </w:tcBorders>
            <w:vAlign w:val="center"/>
          </w:tcPr>
          <w:p w14:paraId="6E5E18AE" w14:textId="77777777" w:rsidR="00FD6984" w:rsidRDefault="00000000">
            <w:pPr>
              <w:pStyle w:val="af9"/>
            </w:pPr>
            <w:r>
              <w:rPr>
                <w:rFonts w:hint="eastAsia"/>
              </w:rPr>
              <w:t>优点：简单易理解，有成熟的计算公式，具有广泛的应用实例参考</w:t>
            </w:r>
          </w:p>
          <w:p w14:paraId="2AE5B6CF" w14:textId="77777777" w:rsidR="00FD6984" w:rsidRDefault="00000000">
            <w:pPr>
              <w:pStyle w:val="af9"/>
            </w:pPr>
            <w:r>
              <w:rPr>
                <w:rFonts w:hint="eastAsia"/>
              </w:rPr>
              <w:t>缺点：是一种理论上的计算方法，其测算结果的准确性依赖于数据的获取。</w:t>
            </w:r>
          </w:p>
        </w:tc>
      </w:tr>
      <w:tr w:rsidR="00FD6984" w14:paraId="55B8D13F" w14:textId="77777777">
        <w:trPr>
          <w:trHeight w:val="2643"/>
        </w:trPr>
        <w:tc>
          <w:tcPr>
            <w:tcW w:w="1271" w:type="dxa"/>
            <w:tcBorders>
              <w:left w:val="single" w:sz="12" w:space="0" w:color="auto"/>
            </w:tcBorders>
            <w:vAlign w:val="center"/>
          </w:tcPr>
          <w:p w14:paraId="0BE0C52C" w14:textId="77777777" w:rsidR="00FD6984" w:rsidRDefault="00000000">
            <w:pPr>
              <w:pStyle w:val="af9"/>
            </w:pPr>
            <w:r>
              <w:rPr>
                <w:rFonts w:hint="eastAsia"/>
              </w:rPr>
              <w:t>物料平衡法</w:t>
            </w:r>
          </w:p>
        </w:tc>
        <w:tc>
          <w:tcPr>
            <w:tcW w:w="1985" w:type="dxa"/>
            <w:vAlign w:val="center"/>
          </w:tcPr>
          <w:p w14:paraId="48F8DCE9" w14:textId="77777777" w:rsidR="00FD6984" w:rsidRDefault="00000000">
            <w:pPr>
              <w:pStyle w:val="af9"/>
            </w:pPr>
            <w:r>
              <w:rPr>
                <w:rFonts w:hint="eastAsia"/>
              </w:rPr>
              <w:t>依据物质守恒定律，输入物料量等于输出物料量与物料流失量的</w:t>
            </w:r>
            <w:proofErr w:type="gramStart"/>
            <w:r>
              <w:rPr>
                <w:rFonts w:hint="eastAsia"/>
              </w:rPr>
              <w:t>和</w:t>
            </w:r>
            <w:proofErr w:type="gramEnd"/>
            <w:r>
              <w:rPr>
                <w:rFonts w:hint="eastAsia"/>
              </w:rPr>
              <w:t>。用输入物料中的含碳量减去输出物料的含碳量后计算得到二氧化碳排放量</w:t>
            </w:r>
          </w:p>
        </w:tc>
        <w:tc>
          <w:tcPr>
            <w:tcW w:w="1843" w:type="dxa"/>
            <w:vAlign w:val="center"/>
          </w:tcPr>
          <w:p w14:paraId="0E3FABC4" w14:textId="77777777" w:rsidR="00FD6984" w:rsidRDefault="00000000">
            <w:pPr>
              <w:pStyle w:val="af9"/>
            </w:pPr>
            <w:r>
              <w:rPr>
                <w:rFonts w:hint="eastAsia"/>
              </w:rPr>
              <w:t>排放量</w:t>
            </w:r>
            <w:r>
              <w:rPr>
                <w:rFonts w:hint="eastAsia"/>
              </w:rPr>
              <w:t>=[</w:t>
            </w:r>
            <w:r>
              <w:rPr>
                <w:rFonts w:hint="eastAsia"/>
              </w:rPr>
              <w:t>（输入物料量×输入物含碳量）</w:t>
            </w:r>
            <w:r>
              <w:rPr>
                <w:rFonts w:hint="eastAsia"/>
              </w:rPr>
              <w:t>-</w:t>
            </w:r>
            <w:r>
              <w:rPr>
                <w:rFonts w:hint="eastAsia"/>
              </w:rPr>
              <w:t>（输出物料量×输出物含碳量）</w:t>
            </w:r>
            <w:r>
              <w:rPr>
                <w:rFonts w:hint="eastAsia"/>
              </w:rPr>
              <w:t>]</w:t>
            </w:r>
            <w:r>
              <w:rPr>
                <w:rFonts w:hint="eastAsia"/>
              </w:rPr>
              <w:t>×</w:t>
            </w:r>
            <w:proofErr w:type="gramStart"/>
            <w:r>
              <w:rPr>
                <w:rFonts w:hint="eastAsia"/>
              </w:rPr>
              <w:t>碳到二氧化碳</w:t>
            </w:r>
            <w:proofErr w:type="gramEnd"/>
            <w:r>
              <w:rPr>
                <w:rFonts w:hint="eastAsia"/>
              </w:rPr>
              <w:t>转换系数×全球变暖潜势，全球变暖潜势的数值可参考</w:t>
            </w:r>
            <w:r>
              <w:rPr>
                <w:rFonts w:hint="eastAsia"/>
              </w:rPr>
              <w:t>IPCC</w:t>
            </w:r>
            <w:r>
              <w:rPr>
                <w:rFonts w:hint="eastAsia"/>
              </w:rPr>
              <w:t>提供的数据。</w:t>
            </w:r>
          </w:p>
        </w:tc>
        <w:tc>
          <w:tcPr>
            <w:tcW w:w="0" w:type="auto"/>
            <w:vAlign w:val="center"/>
          </w:tcPr>
          <w:p w14:paraId="3BAD3EDE" w14:textId="77777777" w:rsidR="00FD6984" w:rsidRDefault="00000000">
            <w:pPr>
              <w:pStyle w:val="af9"/>
            </w:pPr>
            <w:r>
              <w:rPr>
                <w:rFonts w:hint="eastAsia"/>
              </w:rPr>
              <w:t>适用于数据基础较好的行业，例如将化石能源既作为燃料又作为生产原料的化工和钢铁行业</w:t>
            </w:r>
          </w:p>
        </w:tc>
        <w:tc>
          <w:tcPr>
            <w:tcW w:w="0" w:type="auto"/>
            <w:tcBorders>
              <w:right w:val="single" w:sz="12" w:space="0" w:color="auto"/>
            </w:tcBorders>
            <w:vAlign w:val="center"/>
          </w:tcPr>
          <w:p w14:paraId="00519B20" w14:textId="77777777" w:rsidR="00FD6984" w:rsidRDefault="00000000">
            <w:pPr>
              <w:pStyle w:val="af9"/>
            </w:pPr>
            <w:r>
              <w:rPr>
                <w:rFonts w:hint="eastAsia"/>
              </w:rPr>
              <w:t>优点：对产生和排放的物质进行了系统全面的研究。缺点：工作量大，需搜集详细的工业生产过程数据</w:t>
            </w:r>
          </w:p>
        </w:tc>
      </w:tr>
      <w:tr w:rsidR="00FD6984" w14:paraId="44905FC1" w14:textId="77777777">
        <w:trPr>
          <w:trHeight w:val="2004"/>
        </w:trPr>
        <w:tc>
          <w:tcPr>
            <w:tcW w:w="1271" w:type="dxa"/>
            <w:tcBorders>
              <w:left w:val="single" w:sz="12" w:space="0" w:color="auto"/>
              <w:bottom w:val="single" w:sz="12" w:space="0" w:color="auto"/>
            </w:tcBorders>
            <w:vAlign w:val="center"/>
          </w:tcPr>
          <w:p w14:paraId="2E4047B0" w14:textId="77777777" w:rsidR="00FD6984" w:rsidRDefault="00000000">
            <w:pPr>
              <w:pStyle w:val="af9"/>
            </w:pPr>
            <w:r>
              <w:rPr>
                <w:rFonts w:hint="eastAsia"/>
              </w:rPr>
              <w:t>实测法</w:t>
            </w:r>
          </w:p>
        </w:tc>
        <w:tc>
          <w:tcPr>
            <w:tcW w:w="1985" w:type="dxa"/>
            <w:tcBorders>
              <w:bottom w:val="single" w:sz="12" w:space="0" w:color="auto"/>
            </w:tcBorders>
            <w:vAlign w:val="center"/>
          </w:tcPr>
          <w:p w14:paraId="730AFF14" w14:textId="77777777" w:rsidR="00FD6984" w:rsidRDefault="00000000">
            <w:pPr>
              <w:pStyle w:val="af9"/>
            </w:pPr>
            <w:r>
              <w:rPr>
                <w:rFonts w:hint="eastAsia"/>
              </w:rPr>
              <w:t>通过监测手段或国家有关部门认定的连续计量设施，测量排放气体的流速、流量和浓度，用环保部门认可的测量数据来计算气体的排放总量</w:t>
            </w:r>
          </w:p>
        </w:tc>
        <w:tc>
          <w:tcPr>
            <w:tcW w:w="1843" w:type="dxa"/>
            <w:tcBorders>
              <w:bottom w:val="single" w:sz="12" w:space="0" w:color="auto"/>
            </w:tcBorders>
            <w:vAlign w:val="center"/>
          </w:tcPr>
          <w:p w14:paraId="07E8A1CC" w14:textId="77777777" w:rsidR="00FD6984" w:rsidRDefault="00000000">
            <w:pPr>
              <w:pStyle w:val="af9"/>
            </w:pPr>
            <w:r>
              <w:rPr>
                <w:rFonts w:hint="eastAsia"/>
              </w:rPr>
              <w:t>排放量</w:t>
            </w:r>
            <w:r>
              <w:rPr>
                <w:rFonts w:hint="eastAsia"/>
              </w:rPr>
              <w:t>=</w:t>
            </w:r>
            <w:r>
              <w:rPr>
                <w:rFonts w:hint="eastAsia"/>
              </w:rPr>
              <w:t>单位换算因子×介质（空气）流量×介质（空气）中二氧化碳浓度</w:t>
            </w:r>
          </w:p>
        </w:tc>
        <w:tc>
          <w:tcPr>
            <w:tcW w:w="0" w:type="auto"/>
            <w:tcBorders>
              <w:bottom w:val="single" w:sz="12" w:space="0" w:color="auto"/>
            </w:tcBorders>
            <w:vAlign w:val="center"/>
          </w:tcPr>
          <w:p w14:paraId="0293C895" w14:textId="77777777" w:rsidR="00FD6984" w:rsidRDefault="00000000">
            <w:pPr>
              <w:pStyle w:val="af9"/>
            </w:pPr>
            <w:r>
              <w:rPr>
                <w:rFonts w:hint="eastAsia"/>
              </w:rPr>
              <w:t>适用于小区域、简单生产排放链的碳排放源</w:t>
            </w:r>
          </w:p>
        </w:tc>
        <w:tc>
          <w:tcPr>
            <w:tcW w:w="0" w:type="auto"/>
            <w:tcBorders>
              <w:bottom w:val="single" w:sz="12" w:space="0" w:color="auto"/>
              <w:right w:val="single" w:sz="12" w:space="0" w:color="auto"/>
            </w:tcBorders>
            <w:vAlign w:val="center"/>
          </w:tcPr>
          <w:p w14:paraId="7A82BBD1" w14:textId="77777777" w:rsidR="00FD6984" w:rsidRDefault="00000000">
            <w:pPr>
              <w:pStyle w:val="af9"/>
            </w:pPr>
            <w:r>
              <w:rPr>
                <w:rFonts w:hint="eastAsia"/>
              </w:rPr>
              <w:t>优点：中间环节少，结果准确。</w:t>
            </w:r>
          </w:p>
          <w:p w14:paraId="046C29E8" w14:textId="77777777" w:rsidR="00FD6984" w:rsidRDefault="00000000">
            <w:pPr>
              <w:pStyle w:val="af9"/>
            </w:pPr>
            <w:r>
              <w:rPr>
                <w:rFonts w:hint="eastAsia"/>
              </w:rPr>
              <w:t>缺点：成本较高，且要求检测样品具有代表性</w:t>
            </w:r>
          </w:p>
        </w:tc>
      </w:tr>
    </w:tbl>
    <w:p w14:paraId="71B64AF9" w14:textId="77777777" w:rsidR="00FD6984" w:rsidRDefault="00FD6984"/>
    <w:p w14:paraId="796726D1" w14:textId="77777777" w:rsidR="00FD6984" w:rsidRDefault="00000000">
      <w:pPr>
        <w:ind w:firstLineChars="200" w:firstLine="480"/>
      </w:pPr>
      <w:r>
        <w:rPr>
          <w:rFonts w:hint="eastAsia"/>
        </w:rPr>
        <w:lastRenderedPageBreak/>
        <w:t>机动车排放源具有空间分布广、强移动性等特点，基于高速公路联网收费数据，能够处理得到准确的分方向分车型交通量，为应用基于交通活动水平的能耗排放因子法提供了数据条件。采用自下而上的核算路径，能够更好挖掘既有数据的应用潜力，可实现</w:t>
      </w:r>
      <w:proofErr w:type="gramStart"/>
      <w:r>
        <w:rPr>
          <w:rFonts w:hint="eastAsia"/>
        </w:rPr>
        <w:t>移动源碳排放</w:t>
      </w:r>
      <w:proofErr w:type="gramEnd"/>
      <w:r>
        <w:rPr>
          <w:rFonts w:hint="eastAsia"/>
        </w:rPr>
        <w:t>分类核算、精准分析。</w:t>
      </w:r>
    </w:p>
    <w:p w14:paraId="05492394" w14:textId="77777777" w:rsidR="00FD6984" w:rsidRDefault="00FD6984"/>
    <w:p w14:paraId="61E69DC9" w14:textId="77777777" w:rsidR="00FD6984" w:rsidRDefault="00000000">
      <w:pPr>
        <w:pStyle w:val="afb"/>
      </w:pPr>
      <w:r>
        <w:rPr>
          <w:noProof/>
        </w:rPr>
        <w:drawing>
          <wp:inline distT="0" distB="0" distL="0" distR="0" wp14:anchorId="287A5058" wp14:editId="00378FC8">
            <wp:extent cx="4834890" cy="2870835"/>
            <wp:effectExtent l="0" t="0" r="3810" b="5715"/>
            <wp:docPr id="6" name="图片 5" descr="图形用户界面&#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图形用户界面&#10;&#10;中度可信度描述已自动生成"/>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835347" cy="2871169"/>
                    </a:xfrm>
                    <a:prstGeom prst="rect">
                      <a:avLst/>
                    </a:prstGeom>
                    <a:noFill/>
                    <a:ln>
                      <a:noFill/>
                    </a:ln>
                  </pic:spPr>
                </pic:pic>
              </a:graphicData>
            </a:graphic>
          </wp:inline>
        </w:drawing>
      </w:r>
    </w:p>
    <w:p w14:paraId="67400AA0" w14:textId="3932E690" w:rsidR="00FD6984" w:rsidRDefault="00000000">
      <w:pPr>
        <w:pStyle w:val="a3"/>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CD3467">
        <w:rPr>
          <w:noProof/>
        </w:rPr>
        <w:t>6</w:t>
      </w:r>
      <w:r>
        <w:fldChar w:fldCharType="end"/>
      </w:r>
      <w:r>
        <w:t xml:space="preserve"> </w:t>
      </w:r>
      <w:r>
        <w:rPr>
          <w:rFonts w:hint="eastAsia"/>
        </w:rPr>
        <w:t>自上而下的交通碳排放核算路径</w:t>
      </w:r>
    </w:p>
    <w:p w14:paraId="1EE47777" w14:textId="77777777" w:rsidR="00FD6984" w:rsidRDefault="00000000">
      <w:pPr>
        <w:pStyle w:val="afb"/>
      </w:pPr>
      <w:r>
        <w:rPr>
          <w:noProof/>
        </w:rPr>
        <w:drawing>
          <wp:inline distT="0" distB="0" distL="0" distR="0" wp14:anchorId="14BF9B01" wp14:editId="1B7F5DA0">
            <wp:extent cx="4864100" cy="2971165"/>
            <wp:effectExtent l="0" t="0" r="0" b="635"/>
            <wp:docPr id="8" name="图片 7"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图形用户界面&#10;&#10;描述已自动生成"/>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872880" cy="2976408"/>
                    </a:xfrm>
                    <a:prstGeom prst="rect">
                      <a:avLst/>
                    </a:prstGeom>
                    <a:noFill/>
                    <a:ln>
                      <a:noFill/>
                    </a:ln>
                  </pic:spPr>
                </pic:pic>
              </a:graphicData>
            </a:graphic>
          </wp:inline>
        </w:drawing>
      </w:r>
    </w:p>
    <w:p w14:paraId="3DC7D3D1" w14:textId="49858910" w:rsidR="00FD6984" w:rsidRDefault="00000000">
      <w:pPr>
        <w:pStyle w:val="a3"/>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CD3467">
        <w:rPr>
          <w:noProof/>
        </w:rPr>
        <w:t>7</w:t>
      </w:r>
      <w:r>
        <w:fldChar w:fldCharType="end"/>
      </w:r>
      <w:r>
        <w:t xml:space="preserve"> </w:t>
      </w:r>
      <w:r>
        <w:rPr>
          <w:rFonts w:hint="eastAsia"/>
        </w:rPr>
        <w:t>自下而上的交通碳排放核算路径</w:t>
      </w:r>
    </w:p>
    <w:p w14:paraId="3615CC9F" w14:textId="77777777" w:rsidR="00FD6984" w:rsidRDefault="00000000">
      <w:pPr>
        <w:ind w:firstLineChars="200" w:firstLine="480"/>
      </w:pPr>
      <w:r>
        <w:rPr>
          <w:rFonts w:hint="eastAsia"/>
        </w:rPr>
        <w:t>基于交通活动水平的能耗排放因子法具备以下特点：</w:t>
      </w:r>
    </w:p>
    <w:p w14:paraId="7D57C57A" w14:textId="77777777" w:rsidR="00FD6984" w:rsidRDefault="00000000">
      <w:pPr>
        <w:ind w:firstLineChars="200" w:firstLine="480"/>
      </w:pPr>
      <w:r>
        <w:rPr>
          <w:rFonts w:hint="eastAsia"/>
        </w:rPr>
        <w:lastRenderedPageBreak/>
        <w:t>（</w:t>
      </w:r>
      <w:r>
        <w:rPr>
          <w:rFonts w:hint="eastAsia"/>
        </w:rPr>
        <w:t>1</w:t>
      </w:r>
      <w:r>
        <w:rPr>
          <w:rFonts w:hint="eastAsia"/>
        </w:rPr>
        <w:t>）基于精细的交通流量数据，综合运用车辆能耗、单位能耗碳排放因子等参数，能够计算特定时空的</w:t>
      </w:r>
      <w:proofErr w:type="gramStart"/>
      <w:r>
        <w:rPr>
          <w:rFonts w:hint="eastAsia"/>
        </w:rPr>
        <w:t>移动源碳排放量</w:t>
      </w:r>
      <w:proofErr w:type="gramEnd"/>
      <w:r>
        <w:rPr>
          <w:rFonts w:hint="eastAsia"/>
        </w:rPr>
        <w:t>；</w:t>
      </w:r>
    </w:p>
    <w:p w14:paraId="2B3FD1BB" w14:textId="77777777" w:rsidR="00FD6984" w:rsidRDefault="00000000">
      <w:pPr>
        <w:ind w:firstLineChars="200" w:firstLine="480"/>
      </w:pPr>
      <w:r>
        <w:rPr>
          <w:rFonts w:hint="eastAsia"/>
        </w:rPr>
        <w:t>（</w:t>
      </w:r>
      <w:r>
        <w:rPr>
          <w:rFonts w:hint="eastAsia"/>
        </w:rPr>
        <w:t>2</w:t>
      </w:r>
      <w:r>
        <w:rPr>
          <w:rFonts w:hint="eastAsia"/>
        </w:rPr>
        <w:t>）以单个区间单个车型的碳排放作为基础，通过“自下而上”的核算路径，能够实现从小区间到大路网的碳排放核算</w:t>
      </w:r>
    </w:p>
    <w:p w14:paraId="4A5DC8E0" w14:textId="77777777" w:rsidR="00FD6984" w:rsidRDefault="00000000">
      <w:pPr>
        <w:ind w:firstLineChars="200" w:firstLine="480"/>
      </w:pPr>
      <w:r>
        <w:rPr>
          <w:rFonts w:hint="eastAsia"/>
        </w:rPr>
        <w:t>（</w:t>
      </w:r>
      <w:r>
        <w:rPr>
          <w:rFonts w:hint="eastAsia"/>
        </w:rPr>
        <w:t>3</w:t>
      </w:r>
      <w:r>
        <w:rPr>
          <w:rFonts w:hint="eastAsia"/>
        </w:rPr>
        <w:t>）实现“能耗</w:t>
      </w:r>
      <w:r>
        <w:rPr>
          <w:rFonts w:hint="eastAsia"/>
        </w:rPr>
        <w:t>-</w:t>
      </w:r>
      <w:r>
        <w:rPr>
          <w:rFonts w:hint="eastAsia"/>
        </w:rPr>
        <w:t>碳排”的同步核算，充分挖掘了现有交通行业数据与车辆行业数据的应用潜力。</w:t>
      </w:r>
    </w:p>
    <w:p w14:paraId="0AF02054" w14:textId="77777777" w:rsidR="00FD6984" w:rsidRDefault="00000000">
      <w:pPr>
        <w:pStyle w:val="1"/>
      </w:pPr>
      <w:bookmarkStart w:id="11" w:name="_Toc169876047"/>
      <w:r>
        <w:rPr>
          <w:rFonts w:hint="eastAsia"/>
        </w:rPr>
        <w:t>预期效益</w:t>
      </w:r>
      <w:bookmarkEnd w:id="11"/>
    </w:p>
    <w:p w14:paraId="39150005" w14:textId="77777777" w:rsidR="00FD6984" w:rsidRDefault="00000000">
      <w:pPr>
        <w:ind w:firstLineChars="200" w:firstLine="480"/>
      </w:pPr>
      <w:r>
        <w:rPr>
          <w:rFonts w:hint="eastAsia"/>
        </w:rPr>
        <w:t>本文件将解决广东省高速公路运营期</w:t>
      </w:r>
      <w:proofErr w:type="gramStart"/>
      <w:r>
        <w:rPr>
          <w:rFonts w:hint="eastAsia"/>
        </w:rPr>
        <w:t>移动源碳排放</w:t>
      </w:r>
      <w:proofErr w:type="gramEnd"/>
      <w:r>
        <w:rPr>
          <w:rFonts w:hint="eastAsia"/>
        </w:rPr>
        <w:t>核算缺乏统一标准的问题，规范了高速公路</w:t>
      </w:r>
      <w:proofErr w:type="gramStart"/>
      <w:r>
        <w:rPr>
          <w:rFonts w:hint="eastAsia"/>
        </w:rPr>
        <w:t>移动源碳排放</w:t>
      </w:r>
      <w:proofErr w:type="gramEnd"/>
      <w:r>
        <w:rPr>
          <w:rFonts w:hint="eastAsia"/>
        </w:rPr>
        <w:t>核算的边界、方法及流程，提高了高速公路碳排放监测核算能力，提升了广东省高速公路绿色低碳运营管理的水平，具有较大的社会效益和环境效益。同时，本标准的制定将为全国高速公路运营期移动源的碳排放核算起到示范作用，突破了行业内共同面对的管理瓶颈，为相关的高速公路运营管</w:t>
      </w:r>
      <w:proofErr w:type="gramStart"/>
      <w:r>
        <w:rPr>
          <w:rFonts w:hint="eastAsia"/>
        </w:rPr>
        <w:t>控碳减</w:t>
      </w:r>
      <w:proofErr w:type="gramEnd"/>
      <w:r>
        <w:rPr>
          <w:rFonts w:hint="eastAsia"/>
        </w:rPr>
        <w:t>排措施施行提供了量化依据。</w:t>
      </w:r>
    </w:p>
    <w:p w14:paraId="75AEA0EC" w14:textId="77777777" w:rsidR="00FD6984" w:rsidRDefault="00000000">
      <w:pPr>
        <w:pStyle w:val="1"/>
      </w:pPr>
      <w:bookmarkStart w:id="12" w:name="_Toc169876048"/>
      <w:r>
        <w:rPr>
          <w:rFonts w:hint="eastAsia"/>
        </w:rPr>
        <w:t>编制原则</w:t>
      </w:r>
      <w:bookmarkEnd w:id="12"/>
    </w:p>
    <w:p w14:paraId="47606729" w14:textId="77777777" w:rsidR="00FD6984" w:rsidRDefault="00000000">
      <w:pPr>
        <w:pStyle w:val="2"/>
      </w:pPr>
      <w:bookmarkStart w:id="13" w:name="_Toc169876049"/>
      <w:r>
        <w:rPr>
          <w:rFonts w:hint="eastAsia"/>
        </w:rPr>
        <w:t>规范性原则</w:t>
      </w:r>
      <w:bookmarkEnd w:id="13"/>
    </w:p>
    <w:p w14:paraId="58625940" w14:textId="77777777" w:rsidR="00FD6984" w:rsidRDefault="00000000">
      <w:pPr>
        <w:ind w:firstLineChars="200" w:firstLine="480"/>
      </w:pPr>
      <w:r>
        <w:rPr>
          <w:rFonts w:hint="eastAsia"/>
        </w:rPr>
        <w:t>本文件按照</w:t>
      </w:r>
      <w:r>
        <w:rPr>
          <w:rFonts w:hint="eastAsia"/>
        </w:rPr>
        <w:t>GB/T</w:t>
      </w:r>
      <w:r>
        <w:t xml:space="preserve"> 1.1-2020</w:t>
      </w:r>
      <w:r>
        <w:rPr>
          <w:rFonts w:hint="eastAsia"/>
        </w:rPr>
        <w:t>《标准化工作导则</w:t>
      </w:r>
      <w:r>
        <w:rPr>
          <w:rFonts w:hint="eastAsia"/>
        </w:rPr>
        <w:t xml:space="preserve"> </w:t>
      </w:r>
      <w:r>
        <w:rPr>
          <w:rFonts w:hint="eastAsia"/>
        </w:rPr>
        <w:t>第一部分：标准的结构和编写》给出的规则进行编写。</w:t>
      </w:r>
    </w:p>
    <w:p w14:paraId="5006BF6B" w14:textId="77777777" w:rsidR="00FD6984" w:rsidRDefault="00000000">
      <w:pPr>
        <w:pStyle w:val="2"/>
      </w:pPr>
      <w:bookmarkStart w:id="14" w:name="_Toc169876050"/>
      <w:r>
        <w:rPr>
          <w:rFonts w:hint="eastAsia"/>
        </w:rPr>
        <w:t>协调性原则</w:t>
      </w:r>
      <w:bookmarkEnd w:id="14"/>
    </w:p>
    <w:p w14:paraId="2DEA5D8A" w14:textId="77777777" w:rsidR="00FD6984" w:rsidRDefault="00000000">
      <w:pPr>
        <w:ind w:firstLineChars="200" w:firstLine="480"/>
      </w:pPr>
      <w:r>
        <w:rPr>
          <w:rFonts w:hint="eastAsia"/>
        </w:rPr>
        <w:t>标准编制过程中，尽量考虑与以下内容保持协调一致：</w:t>
      </w:r>
    </w:p>
    <w:p w14:paraId="13133FAB" w14:textId="77777777" w:rsidR="00FD6984" w:rsidRDefault="00000000">
      <w:pPr>
        <w:ind w:firstLineChars="200" w:firstLine="480"/>
      </w:pPr>
      <w:r>
        <w:rPr>
          <w:rFonts w:hint="eastAsia"/>
        </w:rPr>
        <w:t>（</w:t>
      </w:r>
      <w:r>
        <w:t>1</w:t>
      </w:r>
      <w:r>
        <w:rPr>
          <w:rFonts w:hint="eastAsia"/>
        </w:rPr>
        <w:t>）国家层面、广东省层面关于温室气体排放与管理相关的政策、规划、法规、标准、管理办法等；</w:t>
      </w:r>
    </w:p>
    <w:p w14:paraId="647E3000" w14:textId="77777777" w:rsidR="00FD6984" w:rsidRDefault="00000000">
      <w:pPr>
        <w:ind w:firstLineChars="200" w:firstLine="480"/>
      </w:pPr>
      <w:r>
        <w:rPr>
          <w:rFonts w:hint="eastAsia"/>
        </w:rPr>
        <w:t>（</w:t>
      </w:r>
      <w:r>
        <w:rPr>
          <w:rFonts w:hint="eastAsia"/>
        </w:rPr>
        <w:t>2</w:t>
      </w:r>
      <w:r>
        <w:rPr>
          <w:rFonts w:hint="eastAsia"/>
        </w:rPr>
        <w:t>）《陆上交通运输企业温室气体排放核算方法与报告指南》（发改办气候〔</w:t>
      </w:r>
      <w:r>
        <w:rPr>
          <w:rFonts w:hint="eastAsia"/>
        </w:rPr>
        <w:t>2015</w:t>
      </w:r>
      <w:r>
        <w:rPr>
          <w:rFonts w:hint="eastAsia"/>
        </w:rPr>
        <w:t>〕</w:t>
      </w:r>
      <w:r>
        <w:rPr>
          <w:rFonts w:hint="eastAsia"/>
        </w:rPr>
        <w:t>1722</w:t>
      </w:r>
      <w:r>
        <w:rPr>
          <w:rFonts w:hint="eastAsia"/>
        </w:rPr>
        <w:t>号）；</w:t>
      </w:r>
    </w:p>
    <w:p w14:paraId="580468A2" w14:textId="77777777" w:rsidR="00FD6984" w:rsidRDefault="00000000">
      <w:pPr>
        <w:ind w:firstLineChars="200" w:firstLine="480"/>
      </w:pPr>
      <w:r>
        <w:rPr>
          <w:rFonts w:hint="eastAsia"/>
        </w:rPr>
        <w:t>（</w:t>
      </w:r>
      <w:r>
        <w:rPr>
          <w:rFonts w:hint="eastAsia"/>
        </w:rPr>
        <w:t>3</w:t>
      </w:r>
      <w:r>
        <w:rPr>
          <w:rFonts w:hint="eastAsia"/>
        </w:rPr>
        <w:t>）</w:t>
      </w:r>
      <w:r>
        <w:rPr>
          <w:rFonts w:hint="eastAsia"/>
        </w:rPr>
        <w:t xml:space="preserve">GB/T 32150-2015 </w:t>
      </w:r>
      <w:r>
        <w:rPr>
          <w:rFonts w:hint="eastAsia"/>
        </w:rPr>
        <w:t>《工业企业温室气体排放核算与报告通则》；</w:t>
      </w:r>
    </w:p>
    <w:p w14:paraId="3C2EF9A0" w14:textId="77777777" w:rsidR="00FD6984" w:rsidRDefault="00000000">
      <w:pPr>
        <w:ind w:firstLineChars="200" w:firstLine="480"/>
      </w:pPr>
      <w:r>
        <w:rPr>
          <w:rFonts w:hint="eastAsia"/>
        </w:rPr>
        <w:t>（</w:t>
      </w:r>
      <w:r>
        <w:rPr>
          <w:rFonts w:hint="eastAsia"/>
        </w:rPr>
        <w:t>4</w:t>
      </w:r>
      <w:r>
        <w:rPr>
          <w:rFonts w:hint="eastAsia"/>
        </w:rPr>
        <w:t>）</w:t>
      </w:r>
      <w:r>
        <w:rPr>
          <w:rFonts w:hint="eastAsia"/>
        </w:rPr>
        <w:t>GB/T 37099</w:t>
      </w:r>
      <w:r>
        <w:t>-2018</w:t>
      </w:r>
      <w:r>
        <w:rPr>
          <w:rFonts w:hint="eastAsia"/>
        </w:rPr>
        <w:t xml:space="preserve"> </w:t>
      </w:r>
      <w:r>
        <w:rPr>
          <w:rFonts w:hint="eastAsia"/>
        </w:rPr>
        <w:t>《绿色物流指标构成与核算方法》。</w:t>
      </w:r>
    </w:p>
    <w:p w14:paraId="712B42BE" w14:textId="77777777" w:rsidR="00FD6984" w:rsidRDefault="00000000">
      <w:pPr>
        <w:pStyle w:val="2"/>
      </w:pPr>
      <w:bookmarkStart w:id="15" w:name="_Toc169876051"/>
      <w:r>
        <w:rPr>
          <w:rFonts w:hint="eastAsia"/>
        </w:rPr>
        <w:lastRenderedPageBreak/>
        <w:t>突出行业特性原则</w:t>
      </w:r>
      <w:bookmarkEnd w:id="15"/>
    </w:p>
    <w:p w14:paraId="23AC6823" w14:textId="77777777" w:rsidR="00FD6984" w:rsidRDefault="00000000">
      <w:pPr>
        <w:ind w:firstLineChars="200" w:firstLine="480"/>
      </w:pPr>
      <w:r>
        <w:rPr>
          <w:rFonts w:hint="eastAsia"/>
        </w:rPr>
        <w:t>本标准基于能源消耗的排放因子法，充分结合高速公路运营期实际特点，建立高速公路运营期不同车型的二氧化碳排放计算方法，对二氧化碳排放因子及数据来源依据做出规定，并依据多源权威数据提供可信参考值，在充分利用现有高速公路大数据的基础上以实现低成本、高分辨率的高速公路运营期</w:t>
      </w:r>
      <w:proofErr w:type="gramStart"/>
      <w:r>
        <w:rPr>
          <w:rFonts w:hint="eastAsia"/>
        </w:rPr>
        <w:t>移动源碳排放</w:t>
      </w:r>
      <w:proofErr w:type="gramEnd"/>
      <w:r>
        <w:rPr>
          <w:rFonts w:hint="eastAsia"/>
        </w:rPr>
        <w:t>核算。</w:t>
      </w:r>
    </w:p>
    <w:p w14:paraId="2823DCF6" w14:textId="77777777" w:rsidR="00FD6984" w:rsidRDefault="00000000">
      <w:pPr>
        <w:pStyle w:val="2"/>
      </w:pPr>
      <w:bookmarkStart w:id="16" w:name="_Toc169876052"/>
      <w:r>
        <w:rPr>
          <w:rFonts w:hint="eastAsia"/>
        </w:rPr>
        <w:t>适用性和可行性原则</w:t>
      </w:r>
      <w:bookmarkEnd w:id="16"/>
    </w:p>
    <w:p w14:paraId="02E07F78" w14:textId="77777777" w:rsidR="00FD6984" w:rsidRDefault="00000000">
      <w:pPr>
        <w:ind w:firstLineChars="200" w:firstLine="480"/>
      </w:pPr>
      <w:r>
        <w:rPr>
          <w:rFonts w:hint="eastAsia"/>
        </w:rPr>
        <w:t>本标准尽量采用了高速公路运营期已有的数据体系，并基于多</w:t>
      </w:r>
      <w:proofErr w:type="gramStart"/>
      <w:r>
        <w:rPr>
          <w:rFonts w:hint="eastAsia"/>
        </w:rPr>
        <w:t>源数据</w:t>
      </w:r>
      <w:proofErr w:type="gramEnd"/>
      <w:r>
        <w:rPr>
          <w:rFonts w:hint="eastAsia"/>
        </w:rPr>
        <w:t>现状，提供多层次、高分辨率的科学核算方式；采用专家论证、座谈调研、选取重点高速公路试算等相结合的方式，召集了具有业务需求、理论研究和数据应用技术的相关方共同参与标准制定工作，使本标准更具适用性和可行性。</w:t>
      </w:r>
    </w:p>
    <w:p w14:paraId="7986D79C" w14:textId="77777777" w:rsidR="00FD6984" w:rsidRDefault="00000000">
      <w:pPr>
        <w:pStyle w:val="1"/>
      </w:pPr>
      <w:bookmarkStart w:id="17" w:name="_Toc169876053"/>
      <w:r>
        <w:rPr>
          <w:rFonts w:hint="eastAsia"/>
        </w:rPr>
        <w:t>标准主要内容</w:t>
      </w:r>
      <w:bookmarkEnd w:id="17"/>
    </w:p>
    <w:p w14:paraId="450A84A5" w14:textId="77777777" w:rsidR="00FD6984" w:rsidRDefault="00000000">
      <w:pPr>
        <w:ind w:firstLineChars="200" w:firstLine="480"/>
      </w:pPr>
      <w:r>
        <w:rPr>
          <w:rFonts w:hint="eastAsia"/>
        </w:rPr>
        <w:t>地方标准《高速公路运营期移动源碳排放核算》共设置了</w:t>
      </w:r>
      <w:r>
        <w:rPr>
          <w:rFonts w:hint="eastAsia"/>
        </w:rPr>
        <w:t>1</w:t>
      </w:r>
      <w:r>
        <w:t>1</w:t>
      </w:r>
      <w:proofErr w:type="gramStart"/>
      <w:r>
        <w:rPr>
          <w:rFonts w:hint="eastAsia"/>
        </w:rPr>
        <w:t>章主体</w:t>
      </w:r>
      <w:proofErr w:type="gramEnd"/>
      <w:r>
        <w:rPr>
          <w:rFonts w:hint="eastAsia"/>
        </w:rPr>
        <w:t>内容，分别是：范围（第</w:t>
      </w:r>
      <w:r>
        <w:rPr>
          <w:rFonts w:hint="eastAsia"/>
        </w:rPr>
        <w:t>1</w:t>
      </w:r>
      <w:r>
        <w:rPr>
          <w:rFonts w:hint="eastAsia"/>
        </w:rPr>
        <w:t>章）、规范性引用文件（第</w:t>
      </w:r>
      <w:r>
        <w:rPr>
          <w:rFonts w:hint="eastAsia"/>
        </w:rPr>
        <w:t>2</w:t>
      </w:r>
      <w:r>
        <w:rPr>
          <w:rFonts w:hint="eastAsia"/>
        </w:rPr>
        <w:t>章）、术语和定义（第</w:t>
      </w:r>
      <w:r>
        <w:t>3</w:t>
      </w:r>
      <w:r>
        <w:rPr>
          <w:rFonts w:hint="eastAsia"/>
        </w:rPr>
        <w:t>章）、基本规定（第</w:t>
      </w:r>
      <w:r>
        <w:rPr>
          <w:rFonts w:hint="eastAsia"/>
        </w:rPr>
        <w:t>4</w:t>
      </w:r>
      <w:r>
        <w:rPr>
          <w:rFonts w:hint="eastAsia"/>
        </w:rPr>
        <w:t>章）、核算边界（第</w:t>
      </w:r>
      <w:r>
        <w:rPr>
          <w:rFonts w:hint="eastAsia"/>
        </w:rPr>
        <w:t>5</w:t>
      </w:r>
      <w:r>
        <w:rPr>
          <w:rFonts w:hint="eastAsia"/>
        </w:rPr>
        <w:t>章）、核算流程（第</w:t>
      </w:r>
      <w:r>
        <w:rPr>
          <w:rFonts w:hint="eastAsia"/>
        </w:rPr>
        <w:t>6</w:t>
      </w:r>
      <w:r>
        <w:rPr>
          <w:rFonts w:hint="eastAsia"/>
        </w:rPr>
        <w:t>章）、核算方法（第</w:t>
      </w:r>
      <w:r>
        <w:rPr>
          <w:rFonts w:hint="eastAsia"/>
        </w:rPr>
        <w:t>7</w:t>
      </w:r>
      <w:r>
        <w:rPr>
          <w:rFonts w:hint="eastAsia"/>
        </w:rPr>
        <w:t>章）、活动数据（第</w:t>
      </w:r>
      <w:r>
        <w:rPr>
          <w:rFonts w:hint="eastAsia"/>
        </w:rPr>
        <w:t>8</w:t>
      </w:r>
      <w:r>
        <w:rPr>
          <w:rFonts w:hint="eastAsia"/>
        </w:rPr>
        <w:t>章）、排放因子（第</w:t>
      </w:r>
      <w:r>
        <w:rPr>
          <w:rFonts w:hint="eastAsia"/>
        </w:rPr>
        <w:t>9</w:t>
      </w:r>
      <w:r>
        <w:rPr>
          <w:rFonts w:hint="eastAsia"/>
        </w:rPr>
        <w:t>章）、不确定性分析（第</w:t>
      </w:r>
      <w:r>
        <w:rPr>
          <w:rFonts w:hint="eastAsia"/>
        </w:rPr>
        <w:t>10</w:t>
      </w:r>
      <w:r>
        <w:rPr>
          <w:rFonts w:hint="eastAsia"/>
        </w:rPr>
        <w:t>章）、核算工作质量管理（第</w:t>
      </w:r>
      <w:r>
        <w:rPr>
          <w:rFonts w:hint="eastAsia"/>
        </w:rPr>
        <w:t>11</w:t>
      </w:r>
      <w:r>
        <w:rPr>
          <w:rFonts w:hint="eastAsia"/>
        </w:rPr>
        <w:t>章）、报告内容和格式（第</w:t>
      </w:r>
      <w:r>
        <w:rPr>
          <w:rFonts w:hint="eastAsia"/>
        </w:rPr>
        <w:t>12</w:t>
      </w:r>
      <w:r>
        <w:rPr>
          <w:rFonts w:hint="eastAsia"/>
        </w:rPr>
        <w:t>章）以及附录</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w:t>
      </w:r>
      <w:r>
        <w:rPr>
          <w:rFonts w:hint="eastAsia"/>
        </w:rPr>
        <w:t>E</w:t>
      </w:r>
      <w:r>
        <w:rPr>
          <w:rFonts w:hint="eastAsia"/>
        </w:rPr>
        <w:t>、</w:t>
      </w:r>
      <w:r>
        <w:rPr>
          <w:rFonts w:hint="eastAsia"/>
        </w:rPr>
        <w:t>F</w:t>
      </w:r>
      <w:r>
        <w:rPr>
          <w:rFonts w:hint="eastAsia"/>
        </w:rPr>
        <w:t>等相关附加内容。</w:t>
      </w:r>
    </w:p>
    <w:p w14:paraId="3F8F79FE" w14:textId="77777777" w:rsidR="00FD6984" w:rsidRDefault="00000000">
      <w:pPr>
        <w:pStyle w:val="2"/>
      </w:pPr>
      <w:bookmarkStart w:id="18" w:name="_Toc169876054"/>
      <w:r>
        <w:rPr>
          <w:rFonts w:hint="eastAsia"/>
        </w:rPr>
        <w:t>范围</w:t>
      </w:r>
      <w:bookmarkEnd w:id="18"/>
    </w:p>
    <w:p w14:paraId="7E47ED1F" w14:textId="77777777" w:rsidR="00FD6984" w:rsidRDefault="00000000">
      <w:pPr>
        <w:ind w:firstLineChars="200" w:firstLine="480"/>
      </w:pPr>
      <w:r>
        <w:rPr>
          <w:rFonts w:hint="eastAsia"/>
        </w:rPr>
        <w:t>本文件适用于高速公路的运营期</w:t>
      </w:r>
      <w:proofErr w:type="gramStart"/>
      <w:r>
        <w:rPr>
          <w:rFonts w:hint="eastAsia"/>
        </w:rPr>
        <w:t>移动源碳排放</w:t>
      </w:r>
      <w:proofErr w:type="gramEnd"/>
      <w:r>
        <w:rPr>
          <w:rFonts w:hint="eastAsia"/>
        </w:rPr>
        <w:t>核算。</w:t>
      </w:r>
    </w:p>
    <w:p w14:paraId="2860B506" w14:textId="77777777" w:rsidR="00FD6984" w:rsidRDefault="00000000">
      <w:pPr>
        <w:pStyle w:val="2"/>
      </w:pPr>
      <w:bookmarkStart w:id="19" w:name="_Toc169876055"/>
      <w:r>
        <w:rPr>
          <w:rFonts w:hint="eastAsia"/>
        </w:rPr>
        <w:t>规范性引用文件</w:t>
      </w:r>
      <w:bookmarkEnd w:id="19"/>
    </w:p>
    <w:p w14:paraId="210D7D46" w14:textId="77777777" w:rsidR="00FD6984" w:rsidRDefault="00000000">
      <w:pPr>
        <w:ind w:firstLineChars="200" w:firstLine="480"/>
      </w:pPr>
      <w:r>
        <w:rPr>
          <w:rFonts w:hint="eastAsia"/>
        </w:rPr>
        <w:t>本标准中涉及的规范性引用文件如下：</w:t>
      </w:r>
    </w:p>
    <w:p w14:paraId="1D8BB4F5" w14:textId="77777777" w:rsidR="00FD6984" w:rsidRDefault="00000000">
      <w:pPr>
        <w:ind w:firstLine="420"/>
      </w:pPr>
      <w:r>
        <w:rPr>
          <w:rFonts w:hint="eastAsia"/>
        </w:rPr>
        <w:t xml:space="preserve">GB/T 4352 </w:t>
      </w:r>
      <w:r>
        <w:rPr>
          <w:rFonts w:hint="eastAsia"/>
        </w:rPr>
        <w:t>载货汽车运行燃料消耗量</w:t>
      </w:r>
    </w:p>
    <w:p w14:paraId="13A9DC45" w14:textId="77777777" w:rsidR="00FD6984" w:rsidRDefault="00000000">
      <w:pPr>
        <w:ind w:firstLine="420"/>
      </w:pPr>
      <w:r>
        <w:rPr>
          <w:rFonts w:hint="eastAsia"/>
        </w:rPr>
        <w:t xml:space="preserve">GB/T 4353 </w:t>
      </w:r>
      <w:r>
        <w:rPr>
          <w:rFonts w:hint="eastAsia"/>
        </w:rPr>
        <w:t>载客汽车运行燃料消耗量</w:t>
      </w:r>
    </w:p>
    <w:p w14:paraId="7673FE8E" w14:textId="77777777" w:rsidR="00FD6984" w:rsidRDefault="00000000">
      <w:pPr>
        <w:ind w:firstLine="420"/>
      </w:pPr>
      <w:r>
        <w:rPr>
          <w:rFonts w:hint="eastAsia"/>
        </w:rPr>
        <w:t xml:space="preserve">GB/T 18386 </w:t>
      </w:r>
      <w:r>
        <w:rPr>
          <w:rFonts w:hint="eastAsia"/>
        </w:rPr>
        <w:t>电动汽车能量消耗量和</w:t>
      </w:r>
      <w:proofErr w:type="gramStart"/>
      <w:r>
        <w:rPr>
          <w:rFonts w:hint="eastAsia"/>
        </w:rPr>
        <w:t>续驶</w:t>
      </w:r>
      <w:proofErr w:type="gramEnd"/>
      <w:r>
        <w:rPr>
          <w:rFonts w:hint="eastAsia"/>
        </w:rPr>
        <w:t>里程试验方法</w:t>
      </w:r>
    </w:p>
    <w:p w14:paraId="5AF99654" w14:textId="77777777" w:rsidR="00FD6984" w:rsidRDefault="00000000">
      <w:pPr>
        <w:ind w:firstLine="420"/>
      </w:pPr>
      <w:r>
        <w:rPr>
          <w:rFonts w:hint="eastAsia"/>
        </w:rPr>
        <w:t xml:space="preserve">GB/T 22757 </w:t>
      </w:r>
      <w:r>
        <w:rPr>
          <w:rFonts w:hint="eastAsia"/>
        </w:rPr>
        <w:t>轻型汽车能源消耗量标识</w:t>
      </w:r>
    </w:p>
    <w:p w14:paraId="34090163" w14:textId="77777777" w:rsidR="00FD6984" w:rsidRDefault="00000000">
      <w:pPr>
        <w:ind w:firstLine="420"/>
      </w:pPr>
      <w:r>
        <w:rPr>
          <w:rFonts w:hint="eastAsia"/>
        </w:rPr>
        <w:t xml:space="preserve">GA/T 16.9-2012 </w:t>
      </w:r>
      <w:r>
        <w:rPr>
          <w:rFonts w:hint="eastAsia"/>
        </w:rPr>
        <w:t>道路交通管理信息代码</w:t>
      </w:r>
      <w:r>
        <w:rPr>
          <w:rFonts w:hint="eastAsia"/>
        </w:rPr>
        <w:t xml:space="preserve"> </w:t>
      </w:r>
      <w:r>
        <w:rPr>
          <w:rFonts w:hint="eastAsia"/>
        </w:rPr>
        <w:t>第</w:t>
      </w:r>
      <w:r>
        <w:rPr>
          <w:rFonts w:hint="eastAsia"/>
        </w:rPr>
        <w:t>9</w:t>
      </w:r>
      <w:r>
        <w:rPr>
          <w:rFonts w:hint="eastAsia"/>
        </w:rPr>
        <w:t>部分：机动车能源种类代码</w:t>
      </w:r>
    </w:p>
    <w:p w14:paraId="588709E1" w14:textId="77777777" w:rsidR="00FD6984" w:rsidRDefault="00000000">
      <w:pPr>
        <w:ind w:firstLine="420"/>
      </w:pPr>
      <w:r>
        <w:rPr>
          <w:rFonts w:hint="eastAsia"/>
        </w:rPr>
        <w:t xml:space="preserve">JT/T 489-2019 </w:t>
      </w:r>
      <w:r>
        <w:rPr>
          <w:rFonts w:hint="eastAsia"/>
        </w:rPr>
        <w:t>收费公路车辆通行费车型分类</w:t>
      </w:r>
    </w:p>
    <w:p w14:paraId="4F92F18D" w14:textId="77777777" w:rsidR="00FD6984" w:rsidRDefault="00000000">
      <w:pPr>
        <w:pStyle w:val="2"/>
      </w:pPr>
      <w:bookmarkStart w:id="20" w:name="_Toc169876056"/>
      <w:r>
        <w:rPr>
          <w:rFonts w:hint="eastAsia"/>
        </w:rPr>
        <w:lastRenderedPageBreak/>
        <w:t>术语和定义</w:t>
      </w:r>
      <w:bookmarkEnd w:id="20"/>
    </w:p>
    <w:p w14:paraId="53498EE1" w14:textId="77777777" w:rsidR="00FD6984" w:rsidRDefault="00000000">
      <w:pPr>
        <w:ind w:firstLineChars="200" w:firstLine="480"/>
      </w:pPr>
      <w:r>
        <w:rPr>
          <w:rFonts w:hint="eastAsia"/>
        </w:rPr>
        <w:t>本文件中给出了</w:t>
      </w:r>
      <w:r>
        <w:rPr>
          <w:rFonts w:hint="eastAsia"/>
        </w:rPr>
        <w:t>1</w:t>
      </w:r>
      <w:r>
        <w:t>2</w:t>
      </w:r>
      <w:r>
        <w:rPr>
          <w:rFonts w:hint="eastAsia"/>
        </w:rPr>
        <w:t>条与高速公路运营期</w:t>
      </w:r>
      <w:proofErr w:type="gramStart"/>
      <w:r>
        <w:rPr>
          <w:rFonts w:hint="eastAsia"/>
        </w:rPr>
        <w:t>移动源碳排放</w:t>
      </w:r>
      <w:proofErr w:type="gramEnd"/>
      <w:r>
        <w:rPr>
          <w:rFonts w:hint="eastAsia"/>
        </w:rPr>
        <w:t>核算相关的术语和定义。</w:t>
      </w:r>
    </w:p>
    <w:p w14:paraId="47FB33B7" w14:textId="77777777" w:rsidR="00FD6984" w:rsidRDefault="00000000">
      <w:pPr>
        <w:ind w:firstLineChars="200" w:firstLine="480"/>
      </w:pPr>
      <w:r>
        <w:rPr>
          <w:rFonts w:hint="eastAsia"/>
        </w:rPr>
        <w:t>（</w:t>
      </w:r>
      <w:r>
        <w:rPr>
          <w:rFonts w:hint="eastAsia"/>
        </w:rPr>
        <w:t>1</w:t>
      </w:r>
      <w:r>
        <w:rPr>
          <w:rFonts w:hint="eastAsia"/>
        </w:rPr>
        <w:t>）</w:t>
      </w:r>
      <w:r>
        <w:rPr>
          <w:rFonts w:hint="eastAsia"/>
        </w:rPr>
        <w:t>3</w:t>
      </w:r>
      <w:r>
        <w:t xml:space="preserve">.1 </w:t>
      </w:r>
      <w:r>
        <w:rPr>
          <w:rFonts w:hint="eastAsia"/>
        </w:rPr>
        <w:t>高速公路运营期移动源</w:t>
      </w:r>
      <w:r>
        <w:rPr>
          <w:rFonts w:hint="eastAsia"/>
        </w:rPr>
        <w:t xml:space="preserve"> </w:t>
      </w:r>
      <w:r>
        <w:rPr>
          <w:rFonts w:hint="eastAsia"/>
        </w:rPr>
        <w:t>（</w:t>
      </w:r>
      <w:r>
        <w:t>mobile source in operation period for expressway</w:t>
      </w:r>
      <w:r>
        <w:rPr>
          <w:rFonts w:hint="eastAsia"/>
        </w:rPr>
        <w:t>）是本文件中的碳排放核算对象，定义为“因在高速公路上通行而产生特定气体排放的移动排放源，即高速公路运营期间通行的机动车，但不包含非道路移动机械，如工程机械、农业机械、小型通用机械等。”</w:t>
      </w:r>
      <w:r>
        <w:t xml:space="preserve"> </w:t>
      </w:r>
    </w:p>
    <w:p w14:paraId="0AFBD57E" w14:textId="77777777" w:rsidR="00FD6984" w:rsidRDefault="00000000">
      <w:pPr>
        <w:ind w:firstLineChars="200" w:firstLine="480"/>
      </w:pPr>
      <w:r>
        <w:rPr>
          <w:rFonts w:hint="eastAsia"/>
        </w:rPr>
        <w:t>（</w:t>
      </w:r>
      <w:r>
        <w:rPr>
          <w:rFonts w:hint="eastAsia"/>
        </w:rPr>
        <w:t>2</w:t>
      </w:r>
      <w:r>
        <w:rPr>
          <w:rFonts w:hint="eastAsia"/>
        </w:rPr>
        <w:t>）</w:t>
      </w:r>
      <w:r>
        <w:rPr>
          <w:rFonts w:hint="eastAsia"/>
        </w:rPr>
        <w:t>3</w:t>
      </w:r>
      <w:r>
        <w:t xml:space="preserve">.2 </w:t>
      </w:r>
      <w:r>
        <w:rPr>
          <w:rFonts w:hint="eastAsia"/>
        </w:rPr>
        <w:t>碳排放</w:t>
      </w:r>
      <w:r>
        <w:rPr>
          <w:rFonts w:hint="eastAsia"/>
        </w:rPr>
        <w:t xml:space="preserve"> </w:t>
      </w:r>
      <w:r>
        <w:rPr>
          <w:rFonts w:hint="eastAsia"/>
        </w:rPr>
        <w:t>（</w:t>
      </w:r>
      <w:r>
        <w:t>carbon emission</w:t>
      </w:r>
      <w:r>
        <w:rPr>
          <w:rFonts w:hint="eastAsia"/>
        </w:rPr>
        <w:t>）是本文件核算的温室气体，即二氧化碳排放，其定义为“在特定时段内因能源活动产生的二氧化碳排放的总量（以质量单位计算）”。该术语的定义来源于</w:t>
      </w:r>
      <w:r>
        <w:rPr>
          <w:rFonts w:hint="eastAsia"/>
        </w:rPr>
        <w:t>GB/T 32150-2015</w:t>
      </w:r>
      <w:r>
        <w:rPr>
          <w:rFonts w:hint="eastAsia"/>
        </w:rPr>
        <w:t>，</w:t>
      </w:r>
      <w:r>
        <w:rPr>
          <w:rFonts w:hint="eastAsia"/>
        </w:rPr>
        <w:t>3.</w:t>
      </w:r>
      <w:r>
        <w:t>6</w:t>
      </w:r>
      <w:r>
        <w:rPr>
          <w:rFonts w:hint="eastAsia"/>
        </w:rPr>
        <w:t>，并有修改，把“温室气体”明确为“二氧化碳”。</w:t>
      </w:r>
    </w:p>
    <w:p w14:paraId="7A39E65C" w14:textId="77777777" w:rsidR="00FD6984" w:rsidRDefault="00000000">
      <w:pPr>
        <w:ind w:firstLine="420"/>
      </w:pPr>
      <w:r>
        <w:rPr>
          <w:rFonts w:hint="eastAsia"/>
        </w:rPr>
        <w:t>（</w:t>
      </w:r>
      <w:r>
        <w:rPr>
          <w:rFonts w:hint="eastAsia"/>
        </w:rPr>
        <w:t>3</w:t>
      </w:r>
      <w:r>
        <w:rPr>
          <w:rFonts w:hint="eastAsia"/>
        </w:rPr>
        <w:t>）</w:t>
      </w:r>
      <w:r>
        <w:rPr>
          <w:rFonts w:hint="eastAsia"/>
        </w:rPr>
        <w:t>3</w:t>
      </w:r>
      <w:r>
        <w:t xml:space="preserve">.3 </w:t>
      </w:r>
      <w:r>
        <w:rPr>
          <w:rFonts w:hint="eastAsia"/>
        </w:rPr>
        <w:t>燃料燃烧碳排放（</w:t>
      </w:r>
      <w:r>
        <w:t>carbon emission from fuel combustion</w:t>
      </w:r>
      <w:r>
        <w:rPr>
          <w:rFonts w:hint="eastAsia"/>
        </w:rPr>
        <w:t>）和</w:t>
      </w:r>
      <w:r>
        <w:rPr>
          <w:rFonts w:hint="eastAsia"/>
        </w:rPr>
        <w:t>3</w:t>
      </w:r>
      <w:r>
        <w:t xml:space="preserve">.4 </w:t>
      </w:r>
      <w:r>
        <w:rPr>
          <w:rFonts w:hint="eastAsia"/>
        </w:rPr>
        <w:t>电力消费产生的间接碳排放（</w:t>
      </w:r>
      <w:r>
        <w:rPr>
          <w:rFonts w:hint="eastAsia"/>
        </w:rPr>
        <w:t>i</w:t>
      </w:r>
      <w:r>
        <w:t>ndirect carbon emission from electricity consumption</w:t>
      </w:r>
      <w:r>
        <w:rPr>
          <w:rFonts w:hint="eastAsia"/>
        </w:rPr>
        <w:t>）分别对应车辆运行过程中的化石燃料燃烧直接产生的碳排放和电力消费产生的间接碳排放。</w:t>
      </w:r>
    </w:p>
    <w:p w14:paraId="1A476257" w14:textId="77777777" w:rsidR="00FD6984" w:rsidRDefault="00000000">
      <w:pPr>
        <w:ind w:firstLine="420"/>
      </w:pPr>
      <w:r>
        <w:rPr>
          <w:rFonts w:hint="eastAsia"/>
        </w:rPr>
        <w:t>（</w:t>
      </w:r>
      <w:r>
        <w:rPr>
          <w:rFonts w:hint="eastAsia"/>
        </w:rPr>
        <w:t>4</w:t>
      </w:r>
      <w:r>
        <w:rPr>
          <w:rFonts w:hint="eastAsia"/>
        </w:rPr>
        <w:t>）</w:t>
      </w:r>
      <w:r>
        <w:rPr>
          <w:rFonts w:hint="eastAsia"/>
        </w:rPr>
        <w:t>3</w:t>
      </w:r>
      <w:r>
        <w:t xml:space="preserve">.5 </w:t>
      </w:r>
      <w:r>
        <w:rPr>
          <w:rFonts w:hint="eastAsia"/>
        </w:rPr>
        <w:t>核算边界</w:t>
      </w:r>
      <w:r>
        <w:rPr>
          <w:rFonts w:hint="eastAsia"/>
        </w:rPr>
        <w:t xml:space="preserve"> </w:t>
      </w:r>
      <w:r>
        <w:rPr>
          <w:rFonts w:hint="eastAsia"/>
        </w:rPr>
        <w:t>（</w:t>
      </w:r>
      <w:r>
        <w:rPr>
          <w:rFonts w:hint="eastAsia"/>
        </w:rPr>
        <w:t>a</w:t>
      </w:r>
      <w:r>
        <w:t>ccounting boundary</w:t>
      </w:r>
      <w:r>
        <w:rPr>
          <w:rFonts w:hint="eastAsia"/>
        </w:rPr>
        <w:t>）是本文件的核算范围，其定义为“高速公路运营管理企业在高速公路运营期内所服务的道路移动源（机动车）通行时因能源消耗产生相关碳排放的范围”。该术语体现了本文件的核算边界是车辆周期和燃料周期的使用阶段碳排放，且车辆使用阶段的地理位置处于高速公路服务范围。</w:t>
      </w:r>
    </w:p>
    <w:p w14:paraId="3F947474" w14:textId="77777777" w:rsidR="00FD6984" w:rsidRDefault="00000000">
      <w:pPr>
        <w:ind w:firstLineChars="200" w:firstLine="480"/>
      </w:pPr>
      <w:r>
        <w:rPr>
          <w:rFonts w:hint="eastAsia"/>
        </w:rPr>
        <w:t>（</w:t>
      </w:r>
      <w:r>
        <w:rPr>
          <w:rFonts w:hint="eastAsia"/>
        </w:rPr>
        <w:t>5</w:t>
      </w:r>
      <w:r>
        <w:rPr>
          <w:rFonts w:hint="eastAsia"/>
        </w:rPr>
        <w:t>）其他术语均来源于国家标准，在结合使用需求的基础上进行了调整修改，如</w:t>
      </w:r>
      <w:r>
        <w:rPr>
          <w:rFonts w:hint="eastAsia"/>
        </w:rPr>
        <w:t>3</w:t>
      </w:r>
      <w:r>
        <w:t xml:space="preserve">.6 </w:t>
      </w:r>
      <w:r>
        <w:rPr>
          <w:rFonts w:hint="eastAsia"/>
        </w:rPr>
        <w:t>活动数据、</w:t>
      </w:r>
      <w:r>
        <w:rPr>
          <w:rFonts w:hint="eastAsia"/>
        </w:rPr>
        <w:t>3</w:t>
      </w:r>
      <w:r>
        <w:t xml:space="preserve">.12 </w:t>
      </w:r>
      <w:r>
        <w:rPr>
          <w:rFonts w:hint="eastAsia"/>
        </w:rPr>
        <w:t>二氧化碳排放因子来源于</w:t>
      </w:r>
      <w:r>
        <w:rPr>
          <w:rFonts w:hint="eastAsia"/>
        </w:rPr>
        <w:t>GB</w:t>
      </w:r>
      <w:r>
        <w:t>/T 32150-2015</w:t>
      </w:r>
      <w:r>
        <w:rPr>
          <w:rFonts w:hint="eastAsia"/>
        </w:rPr>
        <w:t>；</w:t>
      </w:r>
      <w:r>
        <w:rPr>
          <w:rFonts w:hint="eastAsia"/>
        </w:rPr>
        <w:t>3</w:t>
      </w:r>
      <w:r>
        <w:t xml:space="preserve">.7 </w:t>
      </w:r>
      <w:r>
        <w:rPr>
          <w:rFonts w:hint="eastAsia"/>
        </w:rPr>
        <w:t>运行能源消耗量、</w:t>
      </w:r>
      <w:r>
        <w:rPr>
          <w:rFonts w:hint="eastAsia"/>
        </w:rPr>
        <w:t>3</w:t>
      </w:r>
      <w:r>
        <w:t xml:space="preserve">.8 </w:t>
      </w:r>
      <w:r>
        <w:rPr>
          <w:rFonts w:hint="eastAsia"/>
        </w:rPr>
        <w:t>基准能源消耗量、</w:t>
      </w:r>
      <w:r>
        <w:rPr>
          <w:rFonts w:hint="eastAsia"/>
        </w:rPr>
        <w:t>3</w:t>
      </w:r>
      <w:r>
        <w:t xml:space="preserve">.9 </w:t>
      </w:r>
      <w:r>
        <w:rPr>
          <w:rFonts w:hint="eastAsia"/>
        </w:rPr>
        <w:t>能源消耗</w:t>
      </w:r>
      <w:proofErr w:type="gramStart"/>
      <w:r>
        <w:rPr>
          <w:rFonts w:hint="eastAsia"/>
        </w:rPr>
        <w:t>量道路</w:t>
      </w:r>
      <w:proofErr w:type="gramEnd"/>
      <w:r>
        <w:rPr>
          <w:rFonts w:hint="eastAsia"/>
        </w:rPr>
        <w:t>修正系数、</w:t>
      </w:r>
      <w:r>
        <w:rPr>
          <w:rFonts w:hint="eastAsia"/>
        </w:rPr>
        <w:t>3</w:t>
      </w:r>
      <w:r>
        <w:t xml:space="preserve">.10 </w:t>
      </w:r>
      <w:r>
        <w:rPr>
          <w:rFonts w:hint="eastAsia"/>
        </w:rPr>
        <w:t>能源消耗量气温修正系数、</w:t>
      </w:r>
      <w:r>
        <w:rPr>
          <w:rFonts w:hint="eastAsia"/>
        </w:rPr>
        <w:t>3</w:t>
      </w:r>
      <w:r>
        <w:t xml:space="preserve">.11 </w:t>
      </w:r>
      <w:r>
        <w:rPr>
          <w:rFonts w:hint="eastAsia"/>
        </w:rPr>
        <w:t>能源消耗</w:t>
      </w:r>
      <w:proofErr w:type="gramStart"/>
      <w:r>
        <w:rPr>
          <w:rFonts w:hint="eastAsia"/>
        </w:rPr>
        <w:t>量速度</w:t>
      </w:r>
      <w:proofErr w:type="gramEnd"/>
      <w:r>
        <w:rPr>
          <w:rFonts w:hint="eastAsia"/>
        </w:rPr>
        <w:t>修正系数来源于</w:t>
      </w:r>
      <w:r>
        <w:rPr>
          <w:rFonts w:hint="eastAsia"/>
        </w:rPr>
        <w:t>GB</w:t>
      </w:r>
      <w:r>
        <w:t>/T 4352-2022</w:t>
      </w:r>
      <w:r>
        <w:rPr>
          <w:rFonts w:hint="eastAsia"/>
        </w:rPr>
        <w:t>。</w:t>
      </w:r>
    </w:p>
    <w:p w14:paraId="3D445F9B" w14:textId="77777777" w:rsidR="00FD6984" w:rsidRDefault="00000000">
      <w:pPr>
        <w:pStyle w:val="2"/>
      </w:pPr>
      <w:bookmarkStart w:id="21" w:name="_Toc169876057"/>
      <w:r>
        <w:rPr>
          <w:rFonts w:hint="eastAsia"/>
        </w:rPr>
        <w:t>基本规定</w:t>
      </w:r>
      <w:bookmarkEnd w:id="21"/>
    </w:p>
    <w:p w14:paraId="03149282" w14:textId="493E5F6D" w:rsidR="00FD6984" w:rsidRDefault="00000000">
      <w:pPr>
        <w:ind w:firstLineChars="200" w:firstLine="480"/>
      </w:pPr>
      <w:r>
        <w:rPr>
          <w:rFonts w:hint="eastAsia"/>
        </w:rPr>
        <w:t>本文件对使用高速公路运营期</w:t>
      </w:r>
      <w:proofErr w:type="gramStart"/>
      <w:r>
        <w:rPr>
          <w:rFonts w:hint="eastAsia"/>
        </w:rPr>
        <w:t>移动源碳排放</w:t>
      </w:r>
      <w:proofErr w:type="gramEnd"/>
      <w:r>
        <w:rPr>
          <w:rFonts w:hint="eastAsia"/>
        </w:rPr>
        <w:t>核算标准应遵循的基本规定进行了说明。基本规定中包括了高速公路运营期、</w:t>
      </w:r>
      <w:r w:rsidR="00A14557">
        <w:rPr>
          <w:rFonts w:hint="eastAsia"/>
        </w:rPr>
        <w:t>核算对象</w:t>
      </w:r>
      <w:r>
        <w:rPr>
          <w:rFonts w:hint="eastAsia"/>
        </w:rPr>
        <w:t>、移动排放源分类、</w:t>
      </w:r>
      <w:proofErr w:type="gramStart"/>
      <w:r>
        <w:rPr>
          <w:rFonts w:hint="eastAsia"/>
        </w:rPr>
        <w:t>移动源碳排放量</w:t>
      </w:r>
      <w:proofErr w:type="gramEnd"/>
      <w:r>
        <w:rPr>
          <w:rFonts w:hint="eastAsia"/>
        </w:rPr>
        <w:t>核算统计等方面的说明。</w:t>
      </w:r>
    </w:p>
    <w:p w14:paraId="4745267F" w14:textId="77777777" w:rsidR="00FD6984" w:rsidRDefault="00000000">
      <w:pPr>
        <w:ind w:firstLineChars="200" w:firstLine="480"/>
      </w:pPr>
      <w:r>
        <w:rPr>
          <w:rFonts w:hint="eastAsia"/>
        </w:rPr>
        <w:t>（</w:t>
      </w:r>
      <w:r>
        <w:rPr>
          <w:rFonts w:hint="eastAsia"/>
        </w:rPr>
        <w:t>1</w:t>
      </w:r>
      <w:r>
        <w:rPr>
          <w:rFonts w:hint="eastAsia"/>
        </w:rPr>
        <w:t>）高速公路运营期</w:t>
      </w:r>
    </w:p>
    <w:p w14:paraId="42E2A27E" w14:textId="77777777" w:rsidR="00FD6984" w:rsidRDefault="00000000">
      <w:pPr>
        <w:ind w:firstLineChars="200" w:firstLine="480"/>
      </w:pPr>
      <w:r>
        <w:rPr>
          <w:rFonts w:hint="eastAsia"/>
        </w:rPr>
        <w:lastRenderedPageBreak/>
        <w:t>该部分规定了高速公路运营期是指“高速公路建成后，为公众提供运输服务的阶段”。并明确了“高速公路施工养护等特殊情况下仍提供通行服务的阶段均属于高速公路运营期”。</w:t>
      </w:r>
    </w:p>
    <w:p w14:paraId="0B8089C7" w14:textId="30FABE95" w:rsidR="00FD6984" w:rsidRDefault="00000000">
      <w:pPr>
        <w:ind w:firstLineChars="200" w:firstLine="480"/>
      </w:pPr>
      <w:r>
        <w:rPr>
          <w:rFonts w:hint="eastAsia"/>
        </w:rPr>
        <w:t>（</w:t>
      </w:r>
      <w:r>
        <w:rPr>
          <w:rFonts w:hint="eastAsia"/>
        </w:rPr>
        <w:t>2</w:t>
      </w:r>
      <w:r>
        <w:rPr>
          <w:rFonts w:hint="eastAsia"/>
        </w:rPr>
        <w:t>）</w:t>
      </w:r>
      <w:r w:rsidR="00A14557">
        <w:rPr>
          <w:rFonts w:hint="eastAsia"/>
        </w:rPr>
        <w:t>核算对象</w:t>
      </w:r>
    </w:p>
    <w:p w14:paraId="6DEC936B" w14:textId="74C90751" w:rsidR="00FD6984" w:rsidRDefault="00000000">
      <w:pPr>
        <w:ind w:firstLineChars="200" w:firstLine="480"/>
      </w:pPr>
      <w:r>
        <w:rPr>
          <w:rFonts w:hint="eastAsia"/>
        </w:rPr>
        <w:t>该部分规定了</w:t>
      </w:r>
      <w:r w:rsidR="00A14557">
        <w:rPr>
          <w:rFonts w:hint="eastAsia"/>
        </w:rPr>
        <w:t>核算对象</w:t>
      </w:r>
      <w:r>
        <w:rPr>
          <w:rFonts w:hint="eastAsia"/>
        </w:rPr>
        <w:t>是高速公路运营管理企业。</w:t>
      </w:r>
    </w:p>
    <w:p w14:paraId="27E04FA2" w14:textId="77777777" w:rsidR="00FD6984" w:rsidRDefault="00000000">
      <w:pPr>
        <w:ind w:firstLineChars="200" w:firstLine="480"/>
      </w:pPr>
      <w:r>
        <w:rPr>
          <w:rFonts w:hint="eastAsia"/>
        </w:rPr>
        <w:t>（</w:t>
      </w:r>
      <w:r>
        <w:rPr>
          <w:rFonts w:hint="eastAsia"/>
        </w:rPr>
        <w:t>3</w:t>
      </w:r>
      <w:r>
        <w:rPr>
          <w:rFonts w:hint="eastAsia"/>
        </w:rPr>
        <w:t>）移动排放源分类</w:t>
      </w:r>
    </w:p>
    <w:p w14:paraId="635BB2B8" w14:textId="77777777" w:rsidR="00FD6984" w:rsidRDefault="00000000">
      <w:pPr>
        <w:ind w:firstLineChars="200" w:firstLine="480"/>
      </w:pPr>
      <w:r>
        <w:rPr>
          <w:rFonts w:hint="eastAsia"/>
        </w:rPr>
        <w:t>该部分提出和构建了移动源分类体系。按照收费车型、燃料类型共划分两级，尽量在保证活动数据的可得性基础上拓展核算清单的精细程度。</w:t>
      </w:r>
      <w:r>
        <w:t>移动排放源</w:t>
      </w:r>
      <w:r>
        <w:rPr>
          <w:rFonts w:hint="eastAsia"/>
        </w:rPr>
        <w:t>一级</w:t>
      </w:r>
      <w:r>
        <w:t>分类</w:t>
      </w:r>
      <w:r>
        <w:rPr>
          <w:rFonts w:hint="eastAsia"/>
        </w:rPr>
        <w:t>按照</w:t>
      </w:r>
      <w:r>
        <w:t>JT/T 489-2019</w:t>
      </w:r>
      <w:r>
        <w:rPr>
          <w:rFonts w:hint="eastAsia"/>
        </w:rPr>
        <w:t>的要求，根据收费公路的车型分类</w:t>
      </w:r>
      <w:r>
        <w:t>划分为</w:t>
      </w:r>
      <w:r>
        <w:t>1~4</w:t>
      </w:r>
      <w:r>
        <w:t>类客车和</w:t>
      </w:r>
      <w:r>
        <w:t>1~6</w:t>
      </w:r>
      <w:r>
        <w:t>类货车</w:t>
      </w:r>
      <w:r>
        <w:rPr>
          <w:rFonts w:hint="eastAsia"/>
        </w:rPr>
        <w:t>，其中收费公路的专项作业车按货车计入。</w:t>
      </w:r>
      <w:r>
        <w:t>移动排放源</w:t>
      </w:r>
      <w:r>
        <w:rPr>
          <w:rFonts w:hint="eastAsia"/>
        </w:rPr>
        <w:t>二</w:t>
      </w:r>
      <w:r>
        <w:t>级分类</w:t>
      </w:r>
      <w:r>
        <w:rPr>
          <w:rFonts w:hint="eastAsia"/>
        </w:rPr>
        <w:t>按照</w:t>
      </w:r>
      <w:r>
        <w:t>GA/T 16.9-2012</w:t>
      </w:r>
      <w:r>
        <w:rPr>
          <w:rFonts w:hint="eastAsia"/>
        </w:rPr>
        <w:t>的要求，</w:t>
      </w:r>
      <w:r>
        <w:t>根据机动车登记信息的燃料（能源）种类分为汽油、柴油、电、天然气、其他等。</w:t>
      </w:r>
      <w:r>
        <w:rPr>
          <w:rFonts w:hint="eastAsia"/>
        </w:rPr>
        <w:t>上述移动源分类体系充分考虑了收费公路现行车型分类标准、同时细化了车型分类体系中的燃料类型这一项。本文件中所提出的移动源分类体系可以随着数据基础的细化和标准的修订进行更新调整。</w:t>
      </w:r>
    </w:p>
    <w:p w14:paraId="4FE437E0" w14:textId="77777777" w:rsidR="00FD6984" w:rsidRDefault="00000000">
      <w:pPr>
        <w:ind w:firstLineChars="200" w:firstLine="480"/>
      </w:pPr>
      <w:r>
        <w:rPr>
          <w:rFonts w:hint="eastAsia"/>
        </w:rPr>
        <w:t>（</w:t>
      </w:r>
      <w:r>
        <w:rPr>
          <w:rFonts w:hint="eastAsia"/>
        </w:rPr>
        <w:t>4</w:t>
      </w:r>
      <w:r>
        <w:rPr>
          <w:rFonts w:hint="eastAsia"/>
        </w:rPr>
        <w:t>）</w:t>
      </w:r>
      <w:proofErr w:type="gramStart"/>
      <w:r>
        <w:rPr>
          <w:rFonts w:hint="eastAsia"/>
        </w:rPr>
        <w:t>移动源碳排放量</w:t>
      </w:r>
      <w:proofErr w:type="gramEnd"/>
      <w:r>
        <w:rPr>
          <w:rFonts w:hint="eastAsia"/>
        </w:rPr>
        <w:t>核算统计</w:t>
      </w:r>
    </w:p>
    <w:p w14:paraId="01406FF5" w14:textId="77777777" w:rsidR="00FD6984" w:rsidRDefault="00000000">
      <w:pPr>
        <w:ind w:firstLineChars="200" w:firstLine="480"/>
      </w:pPr>
      <w:r>
        <w:rPr>
          <w:rFonts w:hint="eastAsia"/>
        </w:rPr>
        <w:t>该部分规定了高速公路运营期</w:t>
      </w:r>
      <w:proofErr w:type="gramStart"/>
      <w:r>
        <w:rPr>
          <w:rFonts w:hint="eastAsia"/>
        </w:rPr>
        <w:t>移动源碳排放</w:t>
      </w:r>
      <w:proofErr w:type="gramEnd"/>
      <w:r>
        <w:rPr>
          <w:rFonts w:hint="eastAsia"/>
        </w:rPr>
        <w:t>核算应根据不同时空分辨率的需求分区域分车型按特定期限进行核算，并应将各区域各车型碳排放量的核算结果进行统计求和；</w:t>
      </w:r>
      <w:proofErr w:type="gramStart"/>
      <w:r>
        <w:rPr>
          <w:rFonts w:hint="eastAsia"/>
        </w:rPr>
        <w:t>移动源碳排放量</w:t>
      </w:r>
      <w:proofErr w:type="gramEnd"/>
      <w:r>
        <w:rPr>
          <w:rFonts w:hint="eastAsia"/>
        </w:rPr>
        <w:t>包括燃料燃烧碳排放和电力消费产生的间接碳排放，核算报告中</w:t>
      </w:r>
      <w:proofErr w:type="gramStart"/>
      <w:r>
        <w:rPr>
          <w:rFonts w:hint="eastAsia"/>
        </w:rPr>
        <w:t>需包括碳</w:t>
      </w:r>
      <w:proofErr w:type="gramEnd"/>
      <w:r>
        <w:rPr>
          <w:rFonts w:hint="eastAsia"/>
        </w:rPr>
        <w:t>排放总量、燃料燃烧碳排放量、电力消费产生的间接碳排放量三项统计指标。</w:t>
      </w:r>
    </w:p>
    <w:p w14:paraId="2013CCD8" w14:textId="77777777" w:rsidR="00FD6984" w:rsidRDefault="00000000">
      <w:pPr>
        <w:pStyle w:val="2"/>
      </w:pPr>
      <w:bookmarkStart w:id="22" w:name="_Toc169876058"/>
      <w:r>
        <w:rPr>
          <w:rFonts w:hint="eastAsia"/>
        </w:rPr>
        <w:t>核算边界</w:t>
      </w:r>
      <w:bookmarkEnd w:id="22"/>
    </w:p>
    <w:p w14:paraId="32A62ED9" w14:textId="77777777" w:rsidR="00FD6984" w:rsidRDefault="00000000">
      <w:pPr>
        <w:ind w:firstLineChars="200" w:firstLine="480"/>
      </w:pPr>
      <w:r>
        <w:rPr>
          <w:rFonts w:hint="eastAsia"/>
        </w:rPr>
        <w:t>本标准对高速公路运营期</w:t>
      </w:r>
      <w:proofErr w:type="gramStart"/>
      <w:r>
        <w:rPr>
          <w:rFonts w:hint="eastAsia"/>
        </w:rPr>
        <w:t>移动源碳排放</w:t>
      </w:r>
      <w:proofErr w:type="gramEnd"/>
      <w:r>
        <w:rPr>
          <w:rFonts w:hint="eastAsia"/>
        </w:rPr>
        <w:t>的核算边界进行了解释说明，包括核算区间和报告期的规定。高速公路运营期移动源的核算边界划定按照高速公路运营服务范围、移动</w:t>
      </w:r>
      <w:proofErr w:type="gramStart"/>
      <w:r>
        <w:rPr>
          <w:rFonts w:hint="eastAsia"/>
        </w:rPr>
        <w:t>源运行</w:t>
      </w:r>
      <w:proofErr w:type="gramEnd"/>
      <w:r>
        <w:rPr>
          <w:rFonts w:hint="eastAsia"/>
        </w:rPr>
        <w:t>活动数据可得性进行确定，核算的气体类型为二氧化碳（化学式为</w:t>
      </w:r>
      <m:oMath>
        <m:r>
          <w:rPr>
            <w:rFonts w:ascii="Cambria Math" w:hAnsi="Cambria Math" w:hint="eastAsia"/>
          </w:rPr>
          <m:t>C</m:t>
        </m:r>
        <m:sSub>
          <m:sSubPr>
            <m:ctrlPr>
              <w:rPr>
                <w:rFonts w:ascii="Cambria Math" w:hAnsi="Cambria Math" w:cs="Times New Roman"/>
                <w:i/>
                <w:sz w:val="21"/>
                <w:szCs w:val="24"/>
              </w:rPr>
            </m:ctrlPr>
          </m:sSubPr>
          <m:e>
            <m:r>
              <w:rPr>
                <w:rFonts w:ascii="Cambria Math" w:hAnsi="Cambria Math" w:hint="eastAsia"/>
              </w:rPr>
              <m:t>O</m:t>
            </m:r>
          </m:e>
          <m:sub>
            <m:r>
              <w:rPr>
                <w:rFonts w:ascii="Cambria Math" w:hAnsi="Cambria Math"/>
              </w:rPr>
              <m:t>2</m:t>
            </m:r>
          </m:sub>
        </m:sSub>
      </m:oMath>
      <w:r>
        <w:rPr>
          <w:rFonts w:hint="eastAsia"/>
        </w:rPr>
        <w:t>）。</w:t>
      </w:r>
    </w:p>
    <w:p w14:paraId="55ABEBFF" w14:textId="77777777" w:rsidR="00FD6984" w:rsidRDefault="00000000">
      <w:pPr>
        <w:ind w:firstLineChars="200" w:firstLine="480"/>
      </w:pPr>
      <w:r>
        <w:rPr>
          <w:rFonts w:hint="eastAsia"/>
        </w:rPr>
        <w:t>高速公路运营期</w:t>
      </w:r>
      <w:proofErr w:type="gramStart"/>
      <w:r>
        <w:rPr>
          <w:rFonts w:hint="eastAsia"/>
        </w:rPr>
        <w:t>移动源碳排放</w:t>
      </w:r>
      <w:proofErr w:type="gramEnd"/>
      <w:r>
        <w:rPr>
          <w:rFonts w:hint="eastAsia"/>
        </w:rPr>
        <w:t>的核算边界指高速公路运营管理公司所运营的高速公路服务范围内机动车通行产生的二氧化碳排放量，其根据高速公路服务范围划分为主线核算区间、收费站核算区间和服务区核算区间。核算边界由</w:t>
      </w:r>
      <w:r>
        <w:rPr>
          <w:rFonts w:hint="eastAsia"/>
        </w:rPr>
        <w:lastRenderedPageBreak/>
        <w:t>上述核算区间组成，核算边界内的碳排放等于上述核算区间的排放量之</w:t>
      </w:r>
      <w:proofErr w:type="gramStart"/>
      <w:r>
        <w:rPr>
          <w:rFonts w:hint="eastAsia"/>
        </w:rPr>
        <w:t>和</w:t>
      </w:r>
      <w:proofErr w:type="gramEnd"/>
      <w:r>
        <w:rPr>
          <w:rFonts w:hint="eastAsia"/>
        </w:rPr>
        <w:t>。核算区间的定义综合考虑了高速公路服务范围、车辆在不同区域内的行驶特点以及数据可得性等多个方面，突出了高速公路行业的运管管理特点。</w:t>
      </w:r>
    </w:p>
    <w:p w14:paraId="3F8979D1" w14:textId="453C1081" w:rsidR="00FD6984" w:rsidRDefault="00000000">
      <w:pPr>
        <w:pStyle w:val="a3"/>
        <w:keepNext/>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CD3467">
        <w:rPr>
          <w:noProof/>
        </w:rPr>
        <w:t>7</w:t>
      </w:r>
      <w:r>
        <w:fldChar w:fldCharType="end"/>
      </w:r>
      <w:r>
        <w:t xml:space="preserve"> </w:t>
      </w:r>
      <w:r>
        <w:rPr>
          <w:rFonts w:hint="eastAsia"/>
        </w:rPr>
        <w:t>高速公路运营期</w:t>
      </w:r>
      <w:proofErr w:type="gramStart"/>
      <w:r>
        <w:rPr>
          <w:rFonts w:hint="eastAsia"/>
        </w:rPr>
        <w:t>移动源碳排放</w:t>
      </w:r>
      <w:proofErr w:type="gramEnd"/>
      <w:r>
        <w:rPr>
          <w:rFonts w:hint="eastAsia"/>
        </w:rPr>
        <w:t>核算区间</w:t>
      </w:r>
    </w:p>
    <w:tbl>
      <w:tblPr>
        <w:tblStyle w:val="ae"/>
        <w:tblW w:w="5000" w:type="pct"/>
        <w:tblLook w:val="04A0" w:firstRow="1" w:lastRow="0" w:firstColumn="1" w:lastColumn="0" w:noHBand="0" w:noVBand="1"/>
      </w:tblPr>
      <w:tblGrid>
        <w:gridCol w:w="2838"/>
        <w:gridCol w:w="5684"/>
      </w:tblGrid>
      <w:tr w:rsidR="00FD6984" w14:paraId="53A4F4F7" w14:textId="77777777">
        <w:trPr>
          <w:trHeight w:val="467"/>
        </w:trPr>
        <w:tc>
          <w:tcPr>
            <w:tcW w:w="1665" w:type="pct"/>
            <w:tcBorders>
              <w:top w:val="single" w:sz="12" w:space="0" w:color="auto"/>
              <w:left w:val="single" w:sz="12" w:space="0" w:color="auto"/>
              <w:bottom w:val="single" w:sz="12" w:space="0" w:color="auto"/>
            </w:tcBorders>
            <w:vAlign w:val="center"/>
          </w:tcPr>
          <w:p w14:paraId="18131B26" w14:textId="77777777" w:rsidR="00FD6984" w:rsidRDefault="00000000">
            <w:pPr>
              <w:pStyle w:val="af9"/>
            </w:pPr>
            <w:r>
              <w:rPr>
                <w:rFonts w:hint="eastAsia"/>
              </w:rPr>
              <w:t>核算区间</w:t>
            </w:r>
          </w:p>
        </w:tc>
        <w:tc>
          <w:tcPr>
            <w:tcW w:w="3335" w:type="pct"/>
            <w:tcBorders>
              <w:top w:val="single" w:sz="12" w:space="0" w:color="auto"/>
              <w:bottom w:val="single" w:sz="12" w:space="0" w:color="auto"/>
              <w:right w:val="single" w:sz="12" w:space="0" w:color="auto"/>
            </w:tcBorders>
            <w:vAlign w:val="center"/>
          </w:tcPr>
          <w:p w14:paraId="30053A93" w14:textId="77777777" w:rsidR="00FD6984" w:rsidRDefault="00000000">
            <w:pPr>
              <w:pStyle w:val="af9"/>
            </w:pPr>
            <w:r>
              <w:rPr>
                <w:rFonts w:hint="eastAsia"/>
              </w:rPr>
              <w:t>区间定义</w:t>
            </w:r>
          </w:p>
        </w:tc>
      </w:tr>
      <w:tr w:rsidR="00FD6984" w14:paraId="0663A07B" w14:textId="77777777">
        <w:trPr>
          <w:trHeight w:val="624"/>
        </w:trPr>
        <w:tc>
          <w:tcPr>
            <w:tcW w:w="1665" w:type="pct"/>
            <w:tcBorders>
              <w:top w:val="single" w:sz="12" w:space="0" w:color="auto"/>
              <w:left w:val="single" w:sz="12" w:space="0" w:color="auto"/>
            </w:tcBorders>
            <w:vAlign w:val="center"/>
          </w:tcPr>
          <w:p w14:paraId="7A568038" w14:textId="77777777" w:rsidR="00FD6984" w:rsidRDefault="00000000">
            <w:pPr>
              <w:pStyle w:val="af9"/>
            </w:pPr>
            <w:r>
              <w:rPr>
                <w:rFonts w:hint="eastAsia"/>
              </w:rPr>
              <w:t>主线核算区间</w:t>
            </w:r>
          </w:p>
        </w:tc>
        <w:tc>
          <w:tcPr>
            <w:tcW w:w="3335" w:type="pct"/>
            <w:tcBorders>
              <w:top w:val="single" w:sz="12" w:space="0" w:color="auto"/>
              <w:right w:val="single" w:sz="12" w:space="0" w:color="auto"/>
            </w:tcBorders>
            <w:vAlign w:val="center"/>
          </w:tcPr>
          <w:p w14:paraId="6381D209" w14:textId="77777777" w:rsidR="00FD6984" w:rsidRDefault="00000000">
            <w:pPr>
              <w:pStyle w:val="af9"/>
            </w:pPr>
            <w:r>
              <w:rPr>
                <w:rFonts w:hint="eastAsia"/>
              </w:rPr>
              <w:t>高速公路两立交之间的通行范围</w:t>
            </w:r>
          </w:p>
        </w:tc>
      </w:tr>
      <w:tr w:rsidR="00FD6984" w14:paraId="32A46CDB" w14:textId="77777777">
        <w:trPr>
          <w:trHeight w:val="624"/>
        </w:trPr>
        <w:tc>
          <w:tcPr>
            <w:tcW w:w="1665" w:type="pct"/>
            <w:tcBorders>
              <w:left w:val="single" w:sz="12" w:space="0" w:color="auto"/>
              <w:bottom w:val="single" w:sz="4" w:space="0" w:color="000000"/>
            </w:tcBorders>
            <w:vAlign w:val="center"/>
          </w:tcPr>
          <w:p w14:paraId="37102FCE" w14:textId="77777777" w:rsidR="00FD6984" w:rsidRDefault="00000000">
            <w:pPr>
              <w:pStyle w:val="af9"/>
            </w:pPr>
            <w:r>
              <w:rPr>
                <w:rFonts w:hint="eastAsia"/>
              </w:rPr>
              <w:t>收费站核算区间</w:t>
            </w:r>
          </w:p>
        </w:tc>
        <w:tc>
          <w:tcPr>
            <w:tcW w:w="3335" w:type="pct"/>
            <w:tcBorders>
              <w:bottom w:val="single" w:sz="4" w:space="0" w:color="000000"/>
              <w:right w:val="single" w:sz="12" w:space="0" w:color="auto"/>
            </w:tcBorders>
            <w:vAlign w:val="center"/>
          </w:tcPr>
          <w:p w14:paraId="0306B041" w14:textId="77777777" w:rsidR="00FD6984" w:rsidRDefault="00000000">
            <w:pPr>
              <w:pStyle w:val="af9"/>
            </w:pPr>
            <w:r>
              <w:rPr>
                <w:rFonts w:hint="eastAsia"/>
              </w:rPr>
              <w:t>从高速公路主线节点经过收费站到地方道路节点之间的通行范围</w:t>
            </w:r>
          </w:p>
        </w:tc>
      </w:tr>
      <w:tr w:rsidR="00FD6984" w14:paraId="6271C12E" w14:textId="77777777">
        <w:trPr>
          <w:trHeight w:val="624"/>
        </w:trPr>
        <w:tc>
          <w:tcPr>
            <w:tcW w:w="1665" w:type="pct"/>
            <w:tcBorders>
              <w:left w:val="single" w:sz="12" w:space="0" w:color="auto"/>
              <w:bottom w:val="single" w:sz="12" w:space="0" w:color="auto"/>
            </w:tcBorders>
            <w:vAlign w:val="center"/>
          </w:tcPr>
          <w:p w14:paraId="68F0CCB9" w14:textId="77777777" w:rsidR="00FD6984" w:rsidRDefault="00000000">
            <w:pPr>
              <w:pStyle w:val="af9"/>
            </w:pPr>
            <w:r>
              <w:rPr>
                <w:rFonts w:hint="eastAsia"/>
              </w:rPr>
              <w:t>服务区核算区间</w:t>
            </w:r>
          </w:p>
        </w:tc>
        <w:tc>
          <w:tcPr>
            <w:tcW w:w="3335" w:type="pct"/>
            <w:tcBorders>
              <w:bottom w:val="single" w:sz="12" w:space="0" w:color="auto"/>
              <w:right w:val="single" w:sz="12" w:space="0" w:color="auto"/>
            </w:tcBorders>
            <w:vAlign w:val="center"/>
          </w:tcPr>
          <w:p w14:paraId="78EACAC4" w14:textId="77777777" w:rsidR="00FD6984" w:rsidRDefault="00000000">
            <w:pPr>
              <w:pStyle w:val="af9"/>
            </w:pPr>
            <w:r>
              <w:rPr>
                <w:rFonts w:hint="eastAsia"/>
              </w:rPr>
              <w:t>从高速公路服务区入口匝道起点经过停车区到出口匝道终点的通行范围（按服务区进出主通道路径进行测量）</w:t>
            </w:r>
          </w:p>
        </w:tc>
      </w:tr>
    </w:tbl>
    <w:p w14:paraId="410CE4D7" w14:textId="77777777" w:rsidR="00FD6984" w:rsidRDefault="00000000">
      <w:pPr>
        <w:ind w:firstLineChars="200" w:firstLine="480"/>
      </w:pPr>
      <w:r>
        <w:rPr>
          <w:rFonts w:hint="eastAsia"/>
        </w:rPr>
        <w:t>对于报告期的规定是：核算报告的时间范围为高速公路连续运营的一定时间，报告期应按行业主管部门的要求执行。</w:t>
      </w:r>
    </w:p>
    <w:p w14:paraId="26B3F1DC" w14:textId="77777777" w:rsidR="00FD6984" w:rsidRDefault="00000000">
      <w:pPr>
        <w:pStyle w:val="2"/>
      </w:pPr>
      <w:bookmarkStart w:id="23" w:name="_Toc169876059"/>
      <w:r>
        <w:rPr>
          <w:rFonts w:hint="eastAsia"/>
        </w:rPr>
        <w:t>核算流程</w:t>
      </w:r>
      <w:bookmarkEnd w:id="23"/>
    </w:p>
    <w:p w14:paraId="60525205" w14:textId="77777777" w:rsidR="00FD6984" w:rsidRDefault="00000000">
      <w:pPr>
        <w:ind w:firstLineChars="200" w:firstLine="480"/>
      </w:pPr>
      <w:r>
        <w:rPr>
          <w:rFonts w:hint="eastAsia"/>
        </w:rPr>
        <w:t>本文件对核算主体进行碳排放核算的工作流程进行了梳理，主要包括确定核算边界、核算排放量、核算工作质量管理、报告等四大内容。</w:t>
      </w:r>
    </w:p>
    <w:p w14:paraId="5121867F" w14:textId="77777777" w:rsidR="00FD6984" w:rsidRDefault="00000000">
      <w:pPr>
        <w:pStyle w:val="2"/>
      </w:pPr>
      <w:bookmarkStart w:id="24" w:name="_Toc169876060"/>
      <w:r>
        <w:rPr>
          <w:rFonts w:hint="eastAsia"/>
        </w:rPr>
        <w:t>核算方法</w:t>
      </w:r>
      <w:bookmarkEnd w:id="24"/>
    </w:p>
    <w:p w14:paraId="0E319992" w14:textId="77777777" w:rsidR="00FD6984" w:rsidRDefault="00000000">
      <w:pPr>
        <w:ind w:firstLineChars="200" w:firstLine="480"/>
      </w:pPr>
      <w:r>
        <w:rPr>
          <w:rFonts w:hint="eastAsia"/>
        </w:rPr>
        <w:t>本文件规定应选择能得出准确、一致、可再现的结果的核算方法。国家标准</w:t>
      </w:r>
      <w:r>
        <w:rPr>
          <w:rFonts w:hint="eastAsia"/>
        </w:rPr>
        <w:t>GB/T32150</w:t>
      </w:r>
      <w:r>
        <w:t xml:space="preserve">-2015 </w:t>
      </w:r>
      <w:r>
        <w:rPr>
          <w:rFonts w:hint="eastAsia"/>
        </w:rPr>
        <w:t>《工业企业温室气体排放核算与报告通则》提供了两种类型的核算方法，即：计算和实测，其中“计算”又包括了“排放因子法”和“物料平衡法”；“实测”则是通过安装监测仪器、设备，并采用相关技术文件中要求的方法测量温室气体源排放到大气中的温室气体排放量。</w:t>
      </w:r>
    </w:p>
    <w:p w14:paraId="1FDD2AF1" w14:textId="051AA996" w:rsidR="00FD6984" w:rsidRDefault="00000000">
      <w:pPr>
        <w:ind w:firstLineChars="200" w:firstLine="480"/>
      </w:pPr>
      <w:r>
        <w:rPr>
          <w:rFonts w:hint="eastAsia"/>
        </w:rPr>
        <w:t>从数据可得性和方法可行性上考虑，本文件采用了“排放因子法”作为高速公路运营期移动</w:t>
      </w:r>
      <w:proofErr w:type="gramStart"/>
      <w:r>
        <w:rPr>
          <w:rFonts w:hint="eastAsia"/>
        </w:rPr>
        <w:t>源使用</w:t>
      </w:r>
      <w:proofErr w:type="gramEnd"/>
      <w:r>
        <w:rPr>
          <w:rFonts w:hint="eastAsia"/>
        </w:rPr>
        <w:t>的核算方法。核算方法</w:t>
      </w:r>
      <w:r w:rsidR="00A14557">
        <w:rPr>
          <w:rFonts w:hint="eastAsia"/>
        </w:rPr>
        <w:t>具体</w:t>
      </w:r>
      <w:r>
        <w:rPr>
          <w:rFonts w:hint="eastAsia"/>
        </w:rPr>
        <w:t>采用基于能耗的排放因子法，排放因子为单位能耗的二氧化碳排放量。采用排放因子法计算时，碳排放量为活动数据与碳排放因子的乘积，按公式（</w:t>
      </w:r>
      <w:r>
        <w:rPr>
          <w:rFonts w:hint="eastAsia"/>
        </w:rPr>
        <w:t>1</w:t>
      </w:r>
      <w:r>
        <w:rPr>
          <w:rFonts w:hint="eastAsia"/>
        </w:rPr>
        <w:t>）计算。</w:t>
      </w:r>
    </w:p>
    <w:p w14:paraId="02C51C2C" w14:textId="77777777" w:rsidR="00FD6984" w:rsidRDefault="00000000">
      <w:pPr>
        <w:pStyle w:val="af6"/>
        <w:rPr>
          <w:vanish/>
          <w:sz w:val="24"/>
          <w:szCs w:val="24"/>
        </w:rPr>
      </w:pPr>
      <w:r>
        <w:rPr>
          <w:sz w:val="24"/>
          <w:szCs w:val="24"/>
        </w:rPr>
        <w:tab/>
      </w:r>
      <m:oMath>
        <m:sSub>
          <m:sSubPr>
            <m:ctrlPr>
              <w:rPr>
                <w:i/>
                <w:sz w:val="24"/>
                <w:szCs w:val="24"/>
              </w:rPr>
            </m:ctrlPr>
          </m:sSubPr>
          <m:e>
            <m:r>
              <w:rPr>
                <w:sz w:val="24"/>
                <w:szCs w:val="24"/>
              </w:rPr>
              <m:t>E</m:t>
            </m:r>
          </m:e>
          <m:sub>
            <m:sSub>
              <m:sSubPr>
                <m:ctrlPr>
                  <w:rPr>
                    <w:i/>
                    <w:iCs w:val="0"/>
                    <w:sz w:val="24"/>
                    <w:szCs w:val="32"/>
                  </w:rPr>
                </m:ctrlPr>
              </m:sSubPr>
              <m:e>
                <m:r>
                  <w:rPr>
                    <w:rFonts w:hint="eastAsia"/>
                    <w:sz w:val="24"/>
                    <w:szCs w:val="24"/>
                  </w:rPr>
                  <m:t>CO</m:t>
                </m:r>
              </m:e>
              <m:sub>
                <m:r>
                  <w:rPr>
                    <w:sz w:val="24"/>
                    <w:szCs w:val="24"/>
                  </w:rPr>
                  <m:t>2</m:t>
                </m:r>
              </m:sub>
            </m:sSub>
          </m:sub>
        </m:sSub>
        <m:r>
          <m:rPr>
            <m:sty m:val="p"/>
          </m:rPr>
          <w:rPr>
            <w:sz w:val="24"/>
            <w:szCs w:val="24"/>
          </w:rPr>
          <m:t>=</m:t>
        </m:r>
        <m:r>
          <w:rPr>
            <w:sz w:val="24"/>
            <w:szCs w:val="24"/>
          </w:rPr>
          <m:t>AD</m:t>
        </m:r>
        <m:r>
          <m:rPr>
            <m:sty m:val="p"/>
          </m:rPr>
          <w:rPr>
            <w:sz w:val="24"/>
            <w:szCs w:val="24"/>
          </w:rPr>
          <m:t>×</m:t>
        </m:r>
        <m:r>
          <w:rPr>
            <w:sz w:val="24"/>
            <w:szCs w:val="24"/>
          </w:rPr>
          <m:t>EF</m:t>
        </m:r>
      </m:oMath>
      <w:r>
        <w:rPr>
          <w:sz w:val="24"/>
          <w:szCs w:val="24"/>
        </w:rPr>
        <w:tab/>
      </w:r>
      <w:r>
        <w:rPr>
          <w:sz w:val="24"/>
          <w:szCs w:val="24"/>
        </w:rPr>
        <w:tab/>
      </w:r>
    </w:p>
    <w:p w14:paraId="61D3A883" w14:textId="44F2481A" w:rsidR="00FD6984" w:rsidRDefault="00000000">
      <w:pPr>
        <w:pStyle w:val="af6"/>
        <w:rPr>
          <w:sz w:val="24"/>
          <w:szCs w:val="24"/>
        </w:rPr>
      </w:pPr>
      <w:r>
        <w:rPr>
          <w:sz w:val="24"/>
          <w:szCs w:val="24"/>
        </w:rPr>
        <w:t xml:space="preserve"> </w:t>
      </w:r>
      <w:r>
        <w:rPr>
          <w:rFonts w:hint="eastAsia"/>
          <w:sz w:val="24"/>
          <w:szCs w:val="24"/>
        </w:rPr>
        <w:t>(</w:t>
      </w:r>
      <w:r>
        <w:rPr>
          <w:sz w:val="24"/>
          <w:szCs w:val="24"/>
        </w:rPr>
        <w:fldChar w:fldCharType="begin"/>
      </w:r>
      <w:r>
        <w:rPr>
          <w:sz w:val="24"/>
          <w:szCs w:val="24"/>
        </w:rPr>
        <w:instrText xml:space="preserve"> </w:instrText>
      </w:r>
      <w:r>
        <w:rPr>
          <w:rFonts w:hint="eastAsia"/>
          <w:sz w:val="24"/>
          <w:szCs w:val="24"/>
        </w:rPr>
        <w:instrText xml:space="preserve">SEQ </w:instrText>
      </w:r>
      <w:r>
        <w:rPr>
          <w:rFonts w:hint="eastAsia"/>
          <w:sz w:val="24"/>
          <w:szCs w:val="24"/>
        </w:rPr>
        <w:instrText>公式</w:instrText>
      </w:r>
      <w:r>
        <w:rPr>
          <w:rFonts w:hint="eastAsia"/>
          <w:sz w:val="24"/>
          <w:szCs w:val="24"/>
        </w:rPr>
        <w:instrText xml:space="preserve"> \* ARABIC</w:instrText>
      </w:r>
      <w:r>
        <w:rPr>
          <w:sz w:val="24"/>
          <w:szCs w:val="24"/>
        </w:rPr>
        <w:instrText xml:space="preserve"> </w:instrText>
      </w:r>
      <w:r>
        <w:rPr>
          <w:sz w:val="24"/>
          <w:szCs w:val="24"/>
        </w:rPr>
        <w:fldChar w:fldCharType="separate"/>
      </w:r>
      <w:r w:rsidR="00CD3467">
        <w:rPr>
          <w:noProof/>
          <w:sz w:val="24"/>
          <w:szCs w:val="24"/>
        </w:rPr>
        <w:t>1</w:t>
      </w:r>
      <w:r>
        <w:rPr>
          <w:sz w:val="24"/>
          <w:szCs w:val="24"/>
        </w:rPr>
        <w:fldChar w:fldCharType="end"/>
      </w:r>
      <w:r>
        <w:rPr>
          <w:sz w:val="24"/>
          <w:szCs w:val="24"/>
        </w:rPr>
        <w:t>)</w:t>
      </w:r>
    </w:p>
    <w:p w14:paraId="0FF487DA" w14:textId="77777777" w:rsidR="00FD6984" w:rsidRDefault="00000000">
      <w:pPr>
        <w:pStyle w:val="af6"/>
        <w:rPr>
          <w:rFonts w:ascii="Times New Roman" w:hAnsi="Times New Roman" w:cstheme="minorBidi"/>
          <w:iCs w:val="0"/>
          <w:sz w:val="24"/>
          <w:szCs w:val="22"/>
        </w:rPr>
      </w:pPr>
      <w:r>
        <w:rPr>
          <w:rFonts w:ascii="Times New Roman" w:hAnsi="Times New Roman" w:cstheme="minorBidi" w:hint="eastAsia"/>
          <w:iCs w:val="0"/>
          <w:sz w:val="24"/>
          <w:szCs w:val="22"/>
        </w:rPr>
        <w:t>式中：</w:t>
      </w:r>
    </w:p>
    <w:p w14:paraId="330C7D01" w14:textId="77777777" w:rsidR="00FD6984" w:rsidRDefault="00000000">
      <w:pPr>
        <w:ind w:firstLine="420"/>
      </w:pPr>
      <m:oMath>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hint="eastAsia"/>
                  </w:rPr>
                  <m:t>CO</m:t>
                </m:r>
              </m:e>
              <m:sub>
                <m:r>
                  <w:rPr>
                    <w:rFonts w:ascii="Cambria Math" w:hAnsi="Cambria Math"/>
                  </w:rPr>
                  <m:t>2</m:t>
                </m:r>
              </m:sub>
            </m:sSub>
          </m:sub>
        </m:sSub>
      </m:oMath>
      <w:r>
        <w:t>——</w:t>
      </w:r>
      <w:r>
        <w:rPr>
          <w:rFonts w:hint="eastAsia"/>
        </w:rPr>
        <w:t>二氧化</w:t>
      </w:r>
      <w:r>
        <w:t>碳排放量，</w:t>
      </w:r>
      <w:proofErr w:type="gramStart"/>
      <w:r>
        <w:t>单位为吨二氧化碳</w:t>
      </w:r>
      <w:proofErr w:type="gramEnd"/>
      <w:r>
        <w:t>（</w:t>
      </w:r>
      <w:r>
        <w:t>tCO</w:t>
      </w:r>
      <w:r>
        <w:rPr>
          <w:vertAlign w:val="subscript"/>
        </w:rPr>
        <w:t>2</w:t>
      </w:r>
      <w:r>
        <w:t>）；</w:t>
      </w:r>
    </w:p>
    <w:p w14:paraId="42585FE8" w14:textId="77777777" w:rsidR="00FD6984" w:rsidRDefault="00000000">
      <w:pPr>
        <w:ind w:firstLine="420"/>
      </w:pPr>
      <m:oMath>
        <m:r>
          <w:rPr>
            <w:rFonts w:ascii="Cambria Math" w:hAnsi="Cambria Math"/>
          </w:rPr>
          <w:lastRenderedPageBreak/>
          <m:t>AD</m:t>
        </m:r>
      </m:oMath>
      <w:r>
        <w:t>——</w:t>
      </w:r>
      <w:r>
        <w:rPr>
          <w:rFonts w:hint="eastAsia"/>
        </w:rPr>
        <w:t>二氧化</w:t>
      </w:r>
      <w:r>
        <w:t>碳排放活动数据，单位根据具体排放源确定；</w:t>
      </w:r>
    </w:p>
    <w:p w14:paraId="536431C1" w14:textId="77777777" w:rsidR="00FD6984" w:rsidRDefault="00000000">
      <w:pPr>
        <w:ind w:firstLine="420"/>
      </w:pPr>
      <m:oMath>
        <m:r>
          <w:rPr>
            <w:rFonts w:ascii="Cambria Math" w:hAnsi="Cambria Math"/>
          </w:rPr>
          <m:t>EF</m:t>
        </m:r>
      </m:oMath>
      <w:r>
        <w:t>——</w:t>
      </w:r>
      <w:r>
        <w:rPr>
          <w:rFonts w:hint="eastAsia"/>
        </w:rPr>
        <w:t>二氧化</w:t>
      </w:r>
      <w:r>
        <w:t>碳排放因子，单位与活动数据的单位相匹配</w:t>
      </w:r>
      <w:r>
        <w:rPr>
          <w:rFonts w:hint="eastAsia"/>
        </w:rPr>
        <w:t>。</w:t>
      </w:r>
    </w:p>
    <w:p w14:paraId="45D59739" w14:textId="77777777" w:rsidR="00FD6984" w:rsidRDefault="00000000">
      <w:pPr>
        <w:ind w:firstLineChars="200" w:firstLine="480"/>
      </w:pPr>
      <w:r>
        <w:rPr>
          <w:rFonts w:hint="eastAsia"/>
        </w:rPr>
        <w:t>根据上述的排放因子法，结合精细化的高速公路机动车活动数据，本文件中核算方法遵循“总</w:t>
      </w:r>
      <w:r>
        <w:rPr>
          <w:rFonts w:hint="eastAsia"/>
        </w:rPr>
        <w:t>-</w:t>
      </w:r>
      <w:r>
        <w:rPr>
          <w:rFonts w:hint="eastAsia"/>
        </w:rPr>
        <w:t>分”的逻辑框架，对高速公路运营期移动源的碳排放进行细化。基于核算边界及核算区间的规定，首先在路段层面，高速公路运营期</w:t>
      </w:r>
      <w:proofErr w:type="gramStart"/>
      <w:r>
        <w:rPr>
          <w:rFonts w:hint="eastAsia"/>
        </w:rPr>
        <w:t>移动源碳排放</w:t>
      </w:r>
      <w:proofErr w:type="gramEnd"/>
      <w:r>
        <w:rPr>
          <w:rFonts w:hint="eastAsia"/>
        </w:rPr>
        <w:t>总量等于核算边界内所有核算区间</w:t>
      </w:r>
      <w:proofErr w:type="gramStart"/>
      <w:r>
        <w:rPr>
          <w:rFonts w:hint="eastAsia"/>
        </w:rPr>
        <w:t>移动源碳排放量</w:t>
      </w:r>
      <w:proofErr w:type="gramEnd"/>
      <w:r>
        <w:rPr>
          <w:rFonts w:hint="eastAsia"/>
        </w:rPr>
        <w:t>之和，按公式（</w:t>
      </w:r>
      <w:r>
        <w:rPr>
          <w:rFonts w:hint="eastAsia"/>
        </w:rPr>
        <w:t>2</w:t>
      </w:r>
      <w:r>
        <w:rPr>
          <w:rFonts w:hint="eastAsia"/>
        </w:rPr>
        <w:t>）计算；然后在区间层面，各核算区间移动源的碳排放总量包括燃料燃烧碳排放量和电力消费产生的间接碳排放量，按公式（</w:t>
      </w:r>
      <w:r>
        <w:rPr>
          <w:rFonts w:hint="eastAsia"/>
        </w:rPr>
        <w:t>3</w:t>
      </w:r>
      <w:r>
        <w:rPr>
          <w:rFonts w:hint="eastAsia"/>
        </w:rPr>
        <w:t>）计算；最后在车型层面，划分为三种车型大类，分别给出碳排放量计算方法及公式，按表</w:t>
      </w:r>
      <w:r>
        <w:rPr>
          <w:rFonts w:hint="eastAsia"/>
        </w:rPr>
        <w:t>9</w:t>
      </w:r>
      <w:r>
        <w:rPr>
          <w:rFonts w:hint="eastAsia"/>
        </w:rPr>
        <w:t>要求。</w:t>
      </w:r>
    </w:p>
    <w:p w14:paraId="2E1744F1" w14:textId="77777777" w:rsidR="00FD6984" w:rsidRDefault="00000000">
      <w:pPr>
        <w:pStyle w:val="af6"/>
        <w:rPr>
          <w:vanish/>
          <w:sz w:val="24"/>
          <w:szCs w:val="24"/>
        </w:rPr>
      </w:pPr>
      <w:r>
        <w:rPr>
          <w:rFonts w:ascii="Times New Roman" w:hAnsi="Times New Roman"/>
          <w:sz w:val="24"/>
          <w:szCs w:val="24"/>
        </w:rPr>
        <w:tab/>
      </w:r>
      <m:oMath>
        <m:sSub>
          <m:sSubPr>
            <m:ctrlPr>
              <w:rPr>
                <w:i/>
                <w:sz w:val="24"/>
                <w:szCs w:val="24"/>
              </w:rPr>
            </m:ctrlPr>
          </m:sSubPr>
          <m:e>
            <m:r>
              <w:rPr>
                <w:sz w:val="24"/>
                <w:szCs w:val="24"/>
              </w:rPr>
              <m:t>E</m:t>
            </m:r>
          </m:e>
          <m:sub>
            <m:r>
              <w:rPr>
                <w:sz w:val="24"/>
                <w:szCs w:val="24"/>
              </w:rPr>
              <m:t>AB</m:t>
            </m:r>
          </m:sub>
        </m:sSub>
        <m:r>
          <w:rPr>
            <w:sz w:val="24"/>
            <w:szCs w:val="24"/>
          </w:rPr>
          <m:t>=</m:t>
        </m:r>
        <m:nary>
          <m:naryPr>
            <m:chr m:val="∑"/>
            <m:limLoc m:val="undOvr"/>
            <m:subHide m:val="1"/>
            <m:supHide m:val="1"/>
            <m:ctrlPr>
              <w:rPr>
                <w:i/>
                <w:sz w:val="24"/>
                <w:szCs w:val="24"/>
              </w:rPr>
            </m:ctrlPr>
          </m:naryPr>
          <m:sub/>
          <m:sup/>
          <m:e>
            <m:sSub>
              <m:sSubPr>
                <m:ctrlPr>
                  <w:rPr>
                    <w:i/>
                    <w:sz w:val="24"/>
                    <w:szCs w:val="24"/>
                  </w:rPr>
                </m:ctrlPr>
              </m:sSubPr>
              <m:e>
                <m:r>
                  <w:rPr>
                    <w:sz w:val="24"/>
                    <w:szCs w:val="24"/>
                  </w:rPr>
                  <m:t>E</m:t>
                </m:r>
              </m:e>
              <m:sub>
                <m:sSub>
                  <m:sSubPr>
                    <m:ctrlPr>
                      <w:rPr>
                        <w:i/>
                        <w:sz w:val="24"/>
                        <w:szCs w:val="24"/>
                      </w:rPr>
                    </m:ctrlPr>
                  </m:sSubPr>
                  <m:e>
                    <m:r>
                      <w:rPr>
                        <w:rFonts w:hint="eastAsia"/>
                        <w:sz w:val="24"/>
                        <w:szCs w:val="24"/>
                      </w:rPr>
                      <m:t>CO</m:t>
                    </m:r>
                  </m:e>
                  <m:sub>
                    <m:r>
                      <w:rPr>
                        <w:sz w:val="24"/>
                        <w:szCs w:val="24"/>
                      </w:rPr>
                      <m:t>2</m:t>
                    </m:r>
                  </m:sub>
                </m:sSub>
                <m:r>
                  <w:rPr>
                    <w:sz w:val="24"/>
                    <w:szCs w:val="24"/>
                  </w:rPr>
                  <m:t xml:space="preserve">,  </m:t>
                </m:r>
                <m:r>
                  <w:rPr>
                    <w:rFonts w:hint="eastAsia"/>
                    <w:sz w:val="24"/>
                    <w:szCs w:val="24"/>
                  </w:rPr>
                  <m:t>r</m:t>
                </m:r>
              </m:sub>
            </m:sSub>
          </m:e>
        </m:nary>
      </m:oMath>
      <w:r>
        <w:rPr>
          <w:rFonts w:ascii="Times New Roman" w:hAnsi="Times New Roman"/>
          <w:sz w:val="24"/>
          <w:szCs w:val="24"/>
        </w:rPr>
        <w:tab/>
      </w:r>
      <w:r>
        <w:rPr>
          <w:sz w:val="24"/>
          <w:szCs w:val="24"/>
        </w:rPr>
        <w:tab/>
      </w:r>
    </w:p>
    <w:p w14:paraId="39DC934B" w14:textId="60ABA93E" w:rsidR="00FD6984" w:rsidRDefault="00000000">
      <w:pPr>
        <w:pStyle w:val="af6"/>
        <w:rPr>
          <w:rFonts w:ascii="Times New Roman" w:hAnsi="Times New Roman"/>
          <w:sz w:val="24"/>
          <w:szCs w:val="24"/>
        </w:rPr>
      </w:pPr>
      <w:r>
        <w:rPr>
          <w:rFonts w:ascii="Times New Roman" w:hAnsi="Times New Roman"/>
          <w:sz w:val="24"/>
          <w:szCs w:val="24"/>
        </w:rPr>
        <w:t xml:space="preserve"> </w:t>
      </w:r>
      <w:bookmarkStart w:id="25" w:name="_Ref167961450"/>
      <w:r>
        <w:rPr>
          <w:rFonts w:ascii="Times New Roman" w:hAnsi="Times New Roman" w:hint="eastAsia"/>
          <w:sz w:val="24"/>
          <w:szCs w:val="24"/>
        </w:rPr>
        <w:t>(</w:t>
      </w:r>
      <w:r>
        <w:rPr>
          <w:rFonts w:ascii="Times New Roman" w:hAnsi="Times New Roman"/>
          <w:sz w:val="24"/>
          <w:szCs w:val="24"/>
        </w:rPr>
        <w:fldChar w:fldCharType="begin"/>
      </w:r>
      <w:r>
        <w:rPr>
          <w:rFonts w:ascii="Times New Roman" w:hAnsi="Times New Roman"/>
          <w:sz w:val="24"/>
          <w:szCs w:val="24"/>
        </w:rPr>
        <w:instrText xml:space="preserve"> </w:instrText>
      </w:r>
      <w:r>
        <w:rPr>
          <w:rFonts w:ascii="Times New Roman" w:hAnsi="Times New Roman" w:hint="eastAsia"/>
          <w:sz w:val="24"/>
          <w:szCs w:val="24"/>
        </w:rPr>
        <w:instrText xml:space="preserve">SEQ </w:instrText>
      </w:r>
      <w:r>
        <w:rPr>
          <w:rFonts w:ascii="Times New Roman" w:hAnsi="Times New Roman" w:hint="eastAsia"/>
          <w:sz w:val="24"/>
          <w:szCs w:val="24"/>
        </w:rPr>
        <w:instrText>公式</w:instrText>
      </w:r>
      <w:r>
        <w:rPr>
          <w:rFonts w:ascii="Times New Roman" w:hAnsi="Times New Roman" w:hint="eastAsia"/>
          <w:sz w:val="24"/>
          <w:szCs w:val="24"/>
        </w:rPr>
        <w:instrText xml:space="preserve"> \* ARABIC</w:instrText>
      </w:r>
      <w:r>
        <w:rPr>
          <w:rFonts w:ascii="Times New Roman" w:hAnsi="Times New Roman"/>
          <w:sz w:val="24"/>
          <w:szCs w:val="24"/>
        </w:rPr>
        <w:instrText xml:space="preserve"> </w:instrText>
      </w:r>
      <w:r>
        <w:rPr>
          <w:rFonts w:ascii="Times New Roman" w:hAnsi="Times New Roman"/>
          <w:sz w:val="24"/>
          <w:szCs w:val="24"/>
        </w:rPr>
        <w:fldChar w:fldCharType="separate"/>
      </w:r>
      <w:r w:rsidR="00CD3467">
        <w:rPr>
          <w:rFonts w:ascii="Times New Roman" w:hAnsi="Times New Roman"/>
          <w:noProof/>
          <w:sz w:val="24"/>
          <w:szCs w:val="24"/>
        </w:rPr>
        <w:t>2</w:t>
      </w:r>
      <w:r>
        <w:rPr>
          <w:rFonts w:ascii="Times New Roman" w:hAnsi="Times New Roman"/>
          <w:sz w:val="24"/>
          <w:szCs w:val="24"/>
        </w:rPr>
        <w:fldChar w:fldCharType="end"/>
      </w:r>
      <w:r>
        <w:rPr>
          <w:rFonts w:ascii="Times New Roman" w:hAnsi="Times New Roman" w:hint="eastAsia"/>
          <w:sz w:val="24"/>
          <w:szCs w:val="24"/>
        </w:rPr>
        <w:t>)</w:t>
      </w:r>
      <w:bookmarkEnd w:id="25"/>
    </w:p>
    <w:p w14:paraId="5E0B8966" w14:textId="77777777" w:rsidR="00FD6984" w:rsidRDefault="00000000">
      <w:pPr>
        <w:pStyle w:val="af6"/>
        <w:ind w:firstLineChars="200" w:firstLine="480"/>
        <w:rPr>
          <w:rFonts w:ascii="Times New Roman" w:hAnsi="Times New Roman" w:cstheme="minorBidi"/>
          <w:iCs w:val="0"/>
          <w:sz w:val="24"/>
          <w:szCs w:val="22"/>
        </w:rPr>
      </w:pPr>
      <w:r>
        <w:rPr>
          <w:rFonts w:ascii="Times New Roman" w:hAnsi="Times New Roman" w:cstheme="minorBidi" w:hint="eastAsia"/>
          <w:iCs w:val="0"/>
          <w:sz w:val="24"/>
          <w:szCs w:val="22"/>
        </w:rPr>
        <w:t>式中：</w:t>
      </w:r>
    </w:p>
    <w:p w14:paraId="7BA2F022" w14:textId="77777777" w:rsidR="00FD6984" w:rsidRDefault="00000000">
      <w:pPr>
        <w:ind w:firstLine="420"/>
      </w:pPr>
      <m:oMath>
        <m:sSub>
          <m:sSubPr>
            <m:ctrlPr>
              <w:rPr>
                <w:rFonts w:ascii="Cambria Math" w:hAnsi="Cambria Math"/>
                <w:i/>
              </w:rPr>
            </m:ctrlPr>
          </m:sSubPr>
          <m:e>
            <m:r>
              <w:rPr>
                <w:rFonts w:ascii="Cambria Math" w:hAnsi="Cambria Math"/>
              </w:rPr>
              <m:t>E</m:t>
            </m:r>
          </m:e>
          <m:sub>
            <m:r>
              <w:rPr>
                <w:rFonts w:ascii="Cambria Math" w:hAnsi="Cambria Math"/>
              </w:rPr>
              <m:t>AB</m:t>
            </m:r>
          </m:sub>
        </m:sSub>
      </m:oMath>
      <w:r>
        <w:t>——</w:t>
      </w:r>
      <w:r>
        <w:rPr>
          <w:rFonts w:hint="eastAsia"/>
        </w:rPr>
        <w:t>核算边界内所有核算区间的二氧化</w:t>
      </w:r>
      <w:r>
        <w:t>碳排放</w:t>
      </w:r>
      <w:r>
        <w:rPr>
          <w:rFonts w:hint="eastAsia"/>
        </w:rPr>
        <w:t>总</w:t>
      </w:r>
      <w:r>
        <w:t>量，</w:t>
      </w:r>
      <w:proofErr w:type="gramStart"/>
      <w:r>
        <w:t>单位为吨二氧化碳</w:t>
      </w:r>
      <w:proofErr w:type="gramEnd"/>
      <w:r>
        <w:t>（</w:t>
      </w:r>
      <w:r>
        <w:t>tCO</w:t>
      </w:r>
      <w:r>
        <w:rPr>
          <w:vertAlign w:val="subscript"/>
        </w:rPr>
        <w:t>2</w:t>
      </w:r>
      <w:r>
        <w:t>）；</w:t>
      </w:r>
    </w:p>
    <w:p w14:paraId="540F8FB7" w14:textId="77777777" w:rsidR="00FD6984" w:rsidRDefault="00000000">
      <w:pPr>
        <w:ind w:firstLine="420"/>
      </w:pPr>
      <m:oMath>
        <m:sSub>
          <m:sSubPr>
            <m:ctrlPr>
              <w:rPr>
                <w:rFonts w:ascii="Cambria Math" w:hAnsi="Cambria Math"/>
              </w:rPr>
            </m:ctrlPr>
          </m:sSubPr>
          <m:e>
            <m:r>
              <w:rPr>
                <w:rFonts w:ascii="Cambria Math" w:hAnsi="Cambria Math"/>
              </w:rPr>
              <m:t>E</m:t>
            </m:r>
          </m:e>
          <m:sub>
            <m:sSub>
              <m:sSubPr>
                <m:ctrlPr>
                  <w:rPr>
                    <w:rFonts w:ascii="Cambria Math" w:hAnsi="Cambria Math"/>
                    <w:i/>
                  </w:rPr>
                </m:ctrlPr>
              </m:sSubPr>
              <m:e>
                <m:r>
                  <w:rPr>
                    <w:rFonts w:ascii="Cambria Math" w:hAnsi="Cambria Math" w:hint="eastAsia"/>
                  </w:rPr>
                  <m:t>CO</m:t>
                </m:r>
              </m:e>
              <m:sub>
                <m:r>
                  <w:rPr>
                    <w:rFonts w:ascii="Cambria Math" w:hAnsi="Cambria Math"/>
                  </w:rPr>
                  <m:t>2</m:t>
                </m:r>
              </m:sub>
            </m:sSub>
            <m:r>
              <m:rPr>
                <m:sty m:val="p"/>
              </m:rPr>
              <w:rPr>
                <w:rFonts w:ascii="Cambria Math" w:hAnsi="Cambria Math"/>
              </w:rPr>
              <m:t xml:space="preserve">,  </m:t>
            </m:r>
            <m:r>
              <w:rPr>
                <w:rFonts w:ascii="Cambria Math" w:hAnsi="Cambria Math" w:hint="eastAsia"/>
              </w:rPr>
              <m:t>r</m:t>
            </m:r>
          </m:sub>
        </m:sSub>
      </m:oMath>
      <w:r>
        <w:t>——</w:t>
      </w:r>
      <w:r>
        <w:rPr>
          <w:rFonts w:hint="eastAsia"/>
        </w:rPr>
        <w:t>通过</w:t>
      </w:r>
      <w:r>
        <w:rPr>
          <w:rFonts w:hint="eastAsia"/>
          <w:iCs/>
          <w:szCs w:val="21"/>
        </w:rPr>
        <w:t>区间</w:t>
      </w:r>
      <w:r>
        <w:rPr>
          <w:i/>
        </w:rPr>
        <w:t>r</w:t>
      </w:r>
      <w:r>
        <w:rPr>
          <w:iCs/>
        </w:rPr>
        <w:t>的</w:t>
      </w:r>
      <w:r>
        <w:rPr>
          <w:rFonts w:hint="eastAsia"/>
          <w:iCs/>
        </w:rPr>
        <w:t>机动车二氧化碳</w:t>
      </w:r>
      <w:r>
        <w:rPr>
          <w:iCs/>
        </w:rPr>
        <w:t>排放量</w:t>
      </w:r>
      <w:r>
        <w:t>，</w:t>
      </w:r>
      <w:proofErr w:type="gramStart"/>
      <w:r>
        <w:t>单位为吨二氧化碳</w:t>
      </w:r>
      <w:proofErr w:type="gramEnd"/>
      <w:r>
        <w:t>（</w:t>
      </w:r>
      <w:r>
        <w:t>tCO</w:t>
      </w:r>
      <w:r>
        <w:rPr>
          <w:vertAlign w:val="subscript"/>
        </w:rPr>
        <w:t>2</w:t>
      </w:r>
      <w:r>
        <w:t>）</w:t>
      </w:r>
      <w:r>
        <w:rPr>
          <w:rFonts w:hint="eastAsia"/>
        </w:rPr>
        <w:t>。</w:t>
      </w:r>
    </w:p>
    <w:p w14:paraId="16311EA1" w14:textId="77777777" w:rsidR="00FD6984" w:rsidRDefault="00000000">
      <w:pPr>
        <w:pStyle w:val="af6"/>
        <w:rPr>
          <w:vanish/>
          <w:sz w:val="24"/>
          <w:szCs w:val="24"/>
        </w:rPr>
      </w:pPr>
      <w:r>
        <w:rPr>
          <w:sz w:val="24"/>
          <w:szCs w:val="24"/>
        </w:rPr>
        <w:tab/>
      </w:r>
      <m:oMath>
        <m:sSub>
          <m:sSubPr>
            <m:ctrlPr>
              <w:rPr>
                <w:sz w:val="24"/>
                <w:szCs w:val="24"/>
              </w:rPr>
            </m:ctrlPr>
          </m:sSubPr>
          <m:e>
            <m:r>
              <w:rPr>
                <w:sz w:val="24"/>
                <w:szCs w:val="24"/>
              </w:rPr>
              <m:t>E</m:t>
            </m:r>
          </m:e>
          <m:sub>
            <m:sSub>
              <m:sSubPr>
                <m:ctrlPr>
                  <w:rPr>
                    <w:sz w:val="24"/>
                    <w:szCs w:val="24"/>
                  </w:rPr>
                </m:ctrlPr>
              </m:sSubPr>
              <m:e>
                <m:r>
                  <w:rPr>
                    <w:rFonts w:hint="eastAsia"/>
                    <w:sz w:val="24"/>
                    <w:szCs w:val="24"/>
                  </w:rPr>
                  <m:t>CO</m:t>
                </m:r>
              </m:e>
              <m:sub>
                <m:r>
                  <m:rPr>
                    <m:sty m:val="p"/>
                  </m:rPr>
                  <w:rPr>
                    <w:sz w:val="24"/>
                    <w:szCs w:val="24"/>
                  </w:rPr>
                  <m:t>2</m:t>
                </m:r>
              </m:sub>
            </m:sSub>
            <m:r>
              <m:rPr>
                <m:sty m:val="p"/>
              </m:rPr>
              <w:rPr>
                <w:sz w:val="24"/>
                <w:szCs w:val="24"/>
              </w:rPr>
              <m:t xml:space="preserve">,  </m:t>
            </m:r>
            <m:r>
              <w:rPr>
                <w:rFonts w:hint="eastAsia"/>
                <w:sz w:val="24"/>
                <w:szCs w:val="24"/>
              </w:rPr>
              <m:t>r</m:t>
            </m:r>
          </m:sub>
        </m:sSub>
        <m:r>
          <m:rPr>
            <m:sty m:val="p"/>
          </m:rPr>
          <w:rPr>
            <w:sz w:val="24"/>
            <w:szCs w:val="24"/>
          </w:rPr>
          <m:t>=</m:t>
        </m:r>
        <m:sSub>
          <m:sSubPr>
            <m:ctrlPr>
              <w:rPr>
                <w:sz w:val="24"/>
                <w:szCs w:val="24"/>
              </w:rPr>
            </m:ctrlPr>
          </m:sSubPr>
          <m:e>
            <m:r>
              <w:rPr>
                <w:sz w:val="24"/>
                <w:szCs w:val="24"/>
              </w:rPr>
              <m:t>E</m:t>
            </m:r>
          </m:e>
          <m:sub>
            <m:r>
              <w:rPr>
                <w:sz w:val="24"/>
                <w:szCs w:val="24"/>
              </w:rPr>
              <m:t>bu</m:t>
            </m:r>
            <m:r>
              <m:rPr>
                <m:sty m:val="p"/>
              </m:rPr>
              <w:rPr>
                <w:sz w:val="24"/>
                <w:szCs w:val="24"/>
              </w:rPr>
              <m:t>-</m:t>
            </m:r>
            <m:sSub>
              <m:sSubPr>
                <m:ctrlPr>
                  <w:rPr>
                    <w:sz w:val="24"/>
                    <w:szCs w:val="24"/>
                  </w:rPr>
                </m:ctrlPr>
              </m:sSubPr>
              <m:e>
                <m:r>
                  <w:rPr>
                    <w:rFonts w:hint="eastAsia"/>
                    <w:sz w:val="24"/>
                    <w:szCs w:val="24"/>
                  </w:rPr>
                  <m:t>CO</m:t>
                </m:r>
              </m:e>
              <m:sub>
                <m:r>
                  <m:rPr>
                    <m:sty m:val="p"/>
                  </m:rPr>
                  <w:rPr>
                    <w:sz w:val="24"/>
                    <w:szCs w:val="24"/>
                  </w:rPr>
                  <m:t>2</m:t>
                </m:r>
              </m:sub>
            </m:sSub>
            <m:r>
              <m:rPr>
                <m:sty m:val="p"/>
              </m:rPr>
              <w:rPr>
                <w:sz w:val="24"/>
                <w:szCs w:val="24"/>
              </w:rPr>
              <m:t>,</m:t>
            </m:r>
            <m:r>
              <w:rPr>
                <w:sz w:val="24"/>
                <w:szCs w:val="24"/>
              </w:rPr>
              <m:t>r</m:t>
            </m:r>
          </m:sub>
        </m:sSub>
        <m:r>
          <m:rPr>
            <m:sty m:val="p"/>
          </m:rPr>
          <w:rPr>
            <w:sz w:val="24"/>
            <w:szCs w:val="24"/>
          </w:rPr>
          <m:t>+</m:t>
        </m:r>
        <m:sSub>
          <m:sSubPr>
            <m:ctrlPr>
              <w:rPr>
                <w:sz w:val="24"/>
                <w:szCs w:val="24"/>
              </w:rPr>
            </m:ctrlPr>
          </m:sSubPr>
          <m:e>
            <m:r>
              <w:rPr>
                <w:sz w:val="24"/>
                <w:szCs w:val="24"/>
              </w:rPr>
              <m:t>E</m:t>
            </m:r>
          </m:e>
          <m:sub>
            <m:r>
              <w:rPr>
                <w:sz w:val="24"/>
                <w:szCs w:val="24"/>
              </w:rPr>
              <m:t>e</m:t>
            </m:r>
            <m:r>
              <m:rPr>
                <m:sty m:val="p"/>
              </m:rPr>
              <w:rPr>
                <w:sz w:val="24"/>
                <w:szCs w:val="24"/>
              </w:rPr>
              <m:t>-</m:t>
            </m:r>
            <m:sSub>
              <m:sSubPr>
                <m:ctrlPr>
                  <w:rPr>
                    <w:sz w:val="24"/>
                    <w:szCs w:val="24"/>
                  </w:rPr>
                </m:ctrlPr>
              </m:sSubPr>
              <m:e>
                <m:r>
                  <w:rPr>
                    <w:rFonts w:hint="eastAsia"/>
                    <w:sz w:val="24"/>
                    <w:szCs w:val="24"/>
                  </w:rPr>
                  <m:t>CO</m:t>
                </m:r>
              </m:e>
              <m:sub>
                <m:r>
                  <m:rPr>
                    <m:sty m:val="p"/>
                  </m:rPr>
                  <w:rPr>
                    <w:sz w:val="24"/>
                    <w:szCs w:val="24"/>
                  </w:rPr>
                  <m:t>2</m:t>
                </m:r>
              </m:sub>
            </m:sSub>
            <m:r>
              <m:rPr>
                <m:sty m:val="p"/>
              </m:rPr>
              <w:rPr>
                <w:sz w:val="24"/>
                <w:szCs w:val="24"/>
              </w:rPr>
              <m:t>,</m:t>
            </m:r>
            <m:r>
              <w:rPr>
                <w:sz w:val="24"/>
                <w:szCs w:val="24"/>
              </w:rPr>
              <m:t>r</m:t>
            </m:r>
          </m:sub>
        </m:sSub>
      </m:oMath>
      <w:r>
        <w:rPr>
          <w:sz w:val="24"/>
          <w:szCs w:val="24"/>
        </w:rPr>
        <w:tab/>
      </w:r>
      <w:r>
        <w:rPr>
          <w:sz w:val="24"/>
          <w:szCs w:val="24"/>
        </w:rPr>
        <w:tab/>
      </w:r>
    </w:p>
    <w:p w14:paraId="79527851" w14:textId="2654BB02" w:rsidR="00FD6984" w:rsidRDefault="00000000">
      <w:pPr>
        <w:pStyle w:val="af6"/>
        <w:rPr>
          <w:sz w:val="24"/>
          <w:szCs w:val="24"/>
        </w:rPr>
      </w:pPr>
      <w:r>
        <w:rPr>
          <w:sz w:val="24"/>
          <w:szCs w:val="24"/>
        </w:rPr>
        <w:t xml:space="preserve"> </w:t>
      </w:r>
      <w:r>
        <w:rPr>
          <w:rFonts w:hint="eastAsia"/>
          <w:sz w:val="24"/>
          <w:szCs w:val="24"/>
        </w:rPr>
        <w:t>(</w:t>
      </w:r>
      <w:r>
        <w:rPr>
          <w:sz w:val="24"/>
          <w:szCs w:val="24"/>
        </w:rPr>
        <w:fldChar w:fldCharType="begin"/>
      </w:r>
      <w:r>
        <w:rPr>
          <w:sz w:val="24"/>
          <w:szCs w:val="24"/>
        </w:rPr>
        <w:instrText xml:space="preserve"> </w:instrText>
      </w:r>
      <w:r>
        <w:rPr>
          <w:rFonts w:hint="eastAsia"/>
          <w:sz w:val="24"/>
          <w:szCs w:val="24"/>
        </w:rPr>
        <w:instrText xml:space="preserve">SEQ </w:instrText>
      </w:r>
      <w:r>
        <w:rPr>
          <w:rFonts w:hint="eastAsia"/>
          <w:sz w:val="24"/>
          <w:szCs w:val="24"/>
        </w:rPr>
        <w:instrText>公式</w:instrText>
      </w:r>
      <w:r>
        <w:rPr>
          <w:rFonts w:hint="eastAsia"/>
          <w:sz w:val="24"/>
          <w:szCs w:val="24"/>
        </w:rPr>
        <w:instrText xml:space="preserve"> \* ARABIC</w:instrText>
      </w:r>
      <w:r>
        <w:rPr>
          <w:sz w:val="24"/>
          <w:szCs w:val="24"/>
        </w:rPr>
        <w:instrText xml:space="preserve"> </w:instrText>
      </w:r>
      <w:r>
        <w:rPr>
          <w:sz w:val="24"/>
          <w:szCs w:val="24"/>
        </w:rPr>
        <w:fldChar w:fldCharType="separate"/>
      </w:r>
      <w:r w:rsidR="00CD3467">
        <w:rPr>
          <w:noProof/>
          <w:sz w:val="24"/>
          <w:szCs w:val="24"/>
        </w:rPr>
        <w:t>3</w:t>
      </w:r>
      <w:r>
        <w:rPr>
          <w:sz w:val="24"/>
          <w:szCs w:val="24"/>
        </w:rPr>
        <w:fldChar w:fldCharType="end"/>
      </w:r>
      <w:r>
        <w:rPr>
          <w:sz w:val="24"/>
          <w:szCs w:val="24"/>
        </w:rPr>
        <w:t>)</w:t>
      </w:r>
    </w:p>
    <w:p w14:paraId="6BDEAE97" w14:textId="77777777" w:rsidR="00FD6984" w:rsidRDefault="00000000">
      <w:pPr>
        <w:ind w:firstLine="420"/>
      </w:pPr>
      <w:r>
        <w:t>式中：</w:t>
      </w:r>
    </w:p>
    <w:p w14:paraId="58DCB7BD" w14:textId="77777777" w:rsidR="00FD6984" w:rsidRDefault="00000000">
      <w:pPr>
        <w:ind w:firstLine="420"/>
        <w:rPr>
          <w:iCs/>
        </w:rPr>
      </w:pPr>
      <m:oMath>
        <m:sSub>
          <m:sSubPr>
            <m:ctrlPr>
              <w:rPr>
                <w:rFonts w:ascii="Cambria Math" w:hAnsi="Cambria Math"/>
                <w:i/>
              </w:rPr>
            </m:ctrlPr>
          </m:sSubPr>
          <m:e>
            <m:r>
              <w:rPr>
                <w:rFonts w:ascii="Cambria Math" w:hAnsi="Cambria Math"/>
              </w:rPr>
              <m:t>E</m:t>
            </m:r>
          </m:e>
          <m:sub>
            <m:sSub>
              <m:sSubPr>
                <m:ctrlPr>
                  <w:rPr>
                    <w:rFonts w:ascii="Cambria Math" w:hAnsi="Cambria Math"/>
                    <w:i/>
                    <w:szCs w:val="21"/>
                  </w:rPr>
                </m:ctrlPr>
              </m:sSubPr>
              <m:e>
                <m:r>
                  <w:rPr>
                    <w:rFonts w:ascii="Cambria Math" w:hAnsi="Cambria Math" w:hint="eastAsia"/>
                  </w:rPr>
                  <m:t>CO</m:t>
                </m:r>
              </m:e>
              <m:sub>
                <m:r>
                  <w:rPr>
                    <w:rFonts w:ascii="Cambria Math" w:hAnsi="Cambria Math"/>
                  </w:rPr>
                  <m:t>2</m:t>
                </m:r>
              </m:sub>
            </m:sSub>
            <m:r>
              <w:rPr>
                <w:rFonts w:ascii="Cambria Math" w:hAnsi="Cambria Math"/>
              </w:rPr>
              <m:t xml:space="preserve">,  </m:t>
            </m:r>
            <m:r>
              <w:rPr>
                <w:rFonts w:ascii="Cambria Math" w:hAnsi="Cambria Math" w:hint="eastAsia"/>
              </w:rPr>
              <m:t>r</m:t>
            </m:r>
          </m:sub>
        </m:sSub>
      </m:oMath>
      <w:r>
        <w:rPr>
          <w:iCs/>
          <w:szCs w:val="21"/>
        </w:rPr>
        <w:t>—</w:t>
      </w:r>
      <w:r>
        <w:t>—</w:t>
      </w:r>
      <w:r>
        <w:rPr>
          <w:rFonts w:hint="eastAsia"/>
        </w:rPr>
        <w:t>通过</w:t>
      </w:r>
      <w:r>
        <w:rPr>
          <w:rFonts w:hint="eastAsia"/>
          <w:iCs/>
          <w:szCs w:val="21"/>
        </w:rPr>
        <w:t>区间</w:t>
      </w:r>
      <w:r>
        <w:rPr>
          <w:i/>
        </w:rPr>
        <w:t>r</w:t>
      </w:r>
      <w:r>
        <w:rPr>
          <w:iCs/>
        </w:rPr>
        <w:t>的</w:t>
      </w:r>
      <w:r>
        <w:rPr>
          <w:rFonts w:hint="eastAsia"/>
          <w:iCs/>
        </w:rPr>
        <w:t>机动车二氧化碳</w:t>
      </w:r>
      <w:r>
        <w:rPr>
          <w:iCs/>
        </w:rPr>
        <w:t>排放总量，</w:t>
      </w:r>
      <w:proofErr w:type="gramStart"/>
      <w:r>
        <w:rPr>
          <w:iCs/>
        </w:rPr>
        <w:t>单位为</w:t>
      </w:r>
      <w:r>
        <w:rPr>
          <w:rFonts w:hint="eastAsia"/>
        </w:rPr>
        <w:t>吨二氧化碳</w:t>
      </w:r>
      <w:proofErr w:type="gramEnd"/>
      <w:r>
        <w:rPr>
          <w:rFonts w:hint="eastAsia"/>
        </w:rPr>
        <w:t>(</w:t>
      </w:r>
      <w:r>
        <w:t>tCO</w:t>
      </w:r>
      <w:r>
        <w:rPr>
          <w:vertAlign w:val="subscript"/>
        </w:rPr>
        <w:t>2</w:t>
      </w:r>
      <w:r>
        <w:t>)</w:t>
      </w:r>
      <w:r>
        <w:rPr>
          <w:rFonts w:hint="eastAsia"/>
        </w:rPr>
        <w:t>；</w:t>
      </w:r>
    </w:p>
    <w:p w14:paraId="1D024614" w14:textId="77777777" w:rsidR="00FD6984" w:rsidRDefault="00000000">
      <w:pPr>
        <w:ind w:leftChars="100" w:left="1680" w:hangingChars="600" w:hanging="1440"/>
        <w:rPr>
          <w:iCs/>
        </w:rPr>
      </w:pPr>
      <m:oMath>
        <m:sSub>
          <m:sSubPr>
            <m:ctrlPr>
              <w:rPr>
                <w:rFonts w:ascii="Cambria Math" w:hAnsi="Cambria Math"/>
                <w:i/>
              </w:rPr>
            </m:ctrlPr>
          </m:sSubPr>
          <m:e>
            <m:r>
              <w:rPr>
                <w:rFonts w:ascii="Cambria Math" w:hAnsi="Cambria Math"/>
              </w:rPr>
              <m:t>E</m:t>
            </m:r>
          </m:e>
          <m:sub>
            <m:r>
              <w:rPr>
                <w:rFonts w:ascii="Cambria Math" w:hAnsi="Cambria Math"/>
              </w:rPr>
              <m:t>bu-</m:t>
            </m:r>
            <m:sSub>
              <m:sSubPr>
                <m:ctrlPr>
                  <w:rPr>
                    <w:rFonts w:ascii="Cambria Math" w:hAnsi="Cambria Math"/>
                    <w:i/>
                    <w:szCs w:val="21"/>
                  </w:rPr>
                </m:ctrlPr>
              </m:sSubPr>
              <m:e>
                <m:r>
                  <w:rPr>
                    <w:rFonts w:ascii="Cambria Math" w:hAnsi="Cambria Math" w:hint="eastAsia"/>
                  </w:rPr>
                  <m:t>CO</m:t>
                </m:r>
              </m:e>
              <m:sub>
                <m:r>
                  <w:rPr>
                    <w:rFonts w:ascii="Cambria Math" w:hAnsi="Cambria Math"/>
                  </w:rPr>
                  <m:t>2</m:t>
                </m:r>
              </m:sub>
            </m:sSub>
            <m:r>
              <w:rPr>
                <w:rFonts w:ascii="Cambria Math" w:hAnsi="Cambria Math"/>
              </w:rPr>
              <m:t>,r</m:t>
            </m:r>
          </m:sub>
        </m:sSub>
      </m:oMath>
      <w:r>
        <w:rPr>
          <w:iCs/>
        </w:rPr>
        <w:t>—</w:t>
      </w:r>
      <w:r>
        <w:t>—</w:t>
      </w:r>
      <w:r>
        <w:rPr>
          <w:rFonts w:hint="eastAsia"/>
        </w:rPr>
        <w:t>化石燃料车型使用燃料驱动产生的</w:t>
      </w:r>
      <w:r>
        <w:rPr>
          <w:rFonts w:hint="eastAsia"/>
          <w:iCs/>
        </w:rPr>
        <w:t>二氧化碳</w:t>
      </w:r>
      <w:r>
        <w:rPr>
          <w:rFonts w:hint="eastAsia"/>
        </w:rPr>
        <w:t>排放量，</w:t>
      </w:r>
      <w:proofErr w:type="gramStart"/>
      <w:r>
        <w:rPr>
          <w:rFonts w:hint="eastAsia"/>
        </w:rPr>
        <w:t>单位为吨</w:t>
      </w:r>
      <w:proofErr w:type="gramEnd"/>
      <w:r>
        <w:rPr>
          <w:rFonts w:hint="eastAsia"/>
        </w:rPr>
        <w:t xml:space="preserve"> </w:t>
      </w:r>
      <w:r>
        <w:rPr>
          <w:rFonts w:hint="eastAsia"/>
        </w:rPr>
        <w:t>二氧化碳</w:t>
      </w:r>
      <w:r>
        <w:rPr>
          <w:rFonts w:hint="eastAsia"/>
        </w:rPr>
        <w:t>(</w:t>
      </w:r>
      <w:r>
        <w:t>tCO</w:t>
      </w:r>
      <w:r>
        <w:rPr>
          <w:vertAlign w:val="subscript"/>
        </w:rPr>
        <w:t>2</w:t>
      </w:r>
      <w:r>
        <w:t>)</w:t>
      </w:r>
      <w:r>
        <w:rPr>
          <w:iCs/>
        </w:rPr>
        <w:t>；</w:t>
      </w:r>
    </w:p>
    <w:p w14:paraId="3A8D2698" w14:textId="77777777" w:rsidR="00FD6984" w:rsidRDefault="00000000">
      <w:pPr>
        <w:ind w:leftChars="100" w:left="1680" w:hangingChars="600" w:hanging="1440"/>
        <w:rPr>
          <w:iCs/>
        </w:rPr>
      </w:pPr>
      <m:oMath>
        <m:sSub>
          <m:sSubPr>
            <m:ctrlPr>
              <w:rPr>
                <w:rFonts w:ascii="Cambria Math" w:hAnsi="Cambria Math"/>
                <w:i/>
              </w:rPr>
            </m:ctrlPr>
          </m:sSubPr>
          <m:e>
            <m:r>
              <w:rPr>
                <w:rFonts w:ascii="Cambria Math" w:hAnsi="Cambria Math"/>
              </w:rPr>
              <m:t>E</m:t>
            </m:r>
          </m:e>
          <m:sub>
            <m:r>
              <w:rPr>
                <w:rFonts w:ascii="Cambria Math" w:hAnsi="Cambria Math"/>
              </w:rPr>
              <m:t>e-</m:t>
            </m:r>
            <m:sSub>
              <m:sSubPr>
                <m:ctrlPr>
                  <w:rPr>
                    <w:rFonts w:ascii="Cambria Math" w:hAnsi="Cambria Math"/>
                    <w:i/>
                    <w:szCs w:val="21"/>
                  </w:rPr>
                </m:ctrlPr>
              </m:sSubPr>
              <m:e>
                <m:r>
                  <w:rPr>
                    <w:rFonts w:ascii="Cambria Math" w:hAnsi="Cambria Math" w:hint="eastAsia"/>
                  </w:rPr>
                  <m:t>CO</m:t>
                </m:r>
              </m:e>
              <m:sub>
                <m:r>
                  <w:rPr>
                    <w:rFonts w:ascii="Cambria Math" w:hAnsi="Cambria Math"/>
                  </w:rPr>
                  <m:t>2</m:t>
                </m:r>
              </m:sub>
            </m:sSub>
            <m:r>
              <w:rPr>
                <w:rFonts w:ascii="Cambria Math" w:hAnsi="Cambria Math"/>
              </w:rPr>
              <m:t>,r</m:t>
            </m:r>
          </m:sub>
        </m:sSub>
      </m:oMath>
      <w:r>
        <w:rPr>
          <w:iCs/>
        </w:rPr>
        <w:t>—</w:t>
      </w:r>
      <w:r>
        <w:t>—</w:t>
      </w:r>
      <w:r>
        <w:rPr>
          <w:rFonts w:hint="eastAsia"/>
        </w:rPr>
        <w:t>电动车型使用电力驱动产生的间接</w:t>
      </w:r>
      <w:r>
        <w:rPr>
          <w:rFonts w:hint="eastAsia"/>
          <w:iCs/>
        </w:rPr>
        <w:t>二氧化碳</w:t>
      </w:r>
      <w:r>
        <w:rPr>
          <w:rFonts w:hint="eastAsia"/>
        </w:rPr>
        <w:t>排放量，</w:t>
      </w:r>
      <w:proofErr w:type="gramStart"/>
      <w:r>
        <w:rPr>
          <w:rFonts w:hint="eastAsia"/>
        </w:rPr>
        <w:t>单位为吨二氧化碳</w:t>
      </w:r>
      <w:proofErr w:type="gramEnd"/>
      <w:r>
        <w:rPr>
          <w:rFonts w:hint="eastAsia"/>
        </w:rPr>
        <w:t>(</w:t>
      </w:r>
      <w:r>
        <w:t>tCO</w:t>
      </w:r>
      <w:r>
        <w:rPr>
          <w:vertAlign w:val="subscript"/>
        </w:rPr>
        <w:t>2</w:t>
      </w:r>
      <w:r>
        <w:t>)</w:t>
      </w:r>
      <w:r>
        <w:rPr>
          <w:rFonts w:hint="eastAsia"/>
          <w:iCs/>
        </w:rPr>
        <w:t>。</w:t>
      </w:r>
    </w:p>
    <w:p w14:paraId="0CCC4C22" w14:textId="77777777" w:rsidR="00FD6984" w:rsidRDefault="00000000">
      <w:pPr>
        <w:pStyle w:val="af6"/>
        <w:ind w:firstLineChars="200" w:firstLine="480"/>
        <w:rPr>
          <w:sz w:val="24"/>
          <w:szCs w:val="24"/>
        </w:rPr>
      </w:pPr>
      <w:r>
        <w:rPr>
          <w:rFonts w:hint="eastAsia"/>
          <w:sz w:val="24"/>
          <w:szCs w:val="24"/>
        </w:rPr>
        <w:t>燃料燃烧碳排放量是移动源中化石燃料车型使用燃料燃烧驱动产生的二氧化碳排放量之和，燃料燃烧碳排放量</w:t>
      </w:r>
      <m:oMath>
        <m:sSub>
          <m:sSubPr>
            <m:ctrlPr>
              <w:rPr>
                <w:sz w:val="24"/>
                <w:szCs w:val="24"/>
              </w:rPr>
            </m:ctrlPr>
          </m:sSubPr>
          <m:e>
            <m:r>
              <w:rPr>
                <w:sz w:val="24"/>
                <w:szCs w:val="24"/>
              </w:rPr>
              <m:t>E</m:t>
            </m:r>
          </m:e>
          <m:sub>
            <m:r>
              <w:rPr>
                <w:sz w:val="24"/>
                <w:szCs w:val="24"/>
              </w:rPr>
              <m:t>bu-</m:t>
            </m:r>
            <m:sSub>
              <m:sSubPr>
                <m:ctrlPr>
                  <w:rPr>
                    <w:i/>
                    <w:sz w:val="24"/>
                    <w:szCs w:val="24"/>
                  </w:rPr>
                </m:ctrlPr>
              </m:sSubPr>
              <m:e>
                <m:r>
                  <w:rPr>
                    <w:rFonts w:hint="eastAsia"/>
                    <w:sz w:val="24"/>
                    <w:szCs w:val="24"/>
                  </w:rPr>
                  <m:t>CO</m:t>
                </m:r>
              </m:e>
              <m:sub>
                <m:r>
                  <w:rPr>
                    <w:sz w:val="24"/>
                    <w:szCs w:val="24"/>
                  </w:rPr>
                  <m:t>2</m:t>
                </m:r>
              </m:sub>
            </m:sSub>
            <m:r>
              <m:rPr>
                <m:sty m:val="p"/>
              </m:rPr>
              <w:rPr>
                <w:sz w:val="24"/>
                <w:szCs w:val="24"/>
              </w:rPr>
              <m:t>,</m:t>
            </m:r>
            <m:r>
              <w:rPr>
                <w:sz w:val="24"/>
                <w:szCs w:val="24"/>
              </w:rPr>
              <m:t>r</m:t>
            </m:r>
          </m:sub>
        </m:sSub>
      </m:oMath>
      <w:r>
        <w:rPr>
          <w:rFonts w:hint="eastAsia"/>
          <w:sz w:val="24"/>
          <w:szCs w:val="24"/>
        </w:rPr>
        <w:t>按公式（</w:t>
      </w:r>
      <w:r>
        <w:rPr>
          <w:rFonts w:hint="eastAsia"/>
          <w:sz w:val="24"/>
          <w:szCs w:val="24"/>
        </w:rPr>
        <w:t>4</w:t>
      </w:r>
      <w:r>
        <w:rPr>
          <w:rFonts w:hint="eastAsia"/>
          <w:sz w:val="24"/>
          <w:szCs w:val="24"/>
        </w:rPr>
        <w:t>）计算。</w:t>
      </w:r>
    </w:p>
    <w:p w14:paraId="1D46A6B4" w14:textId="77777777" w:rsidR="00FD6984" w:rsidRDefault="00000000">
      <w:pPr>
        <w:ind w:firstLine="420"/>
        <w:rPr>
          <w:iCs/>
        </w:rPr>
      </w:pPr>
      <w:r>
        <w:rPr>
          <w:rFonts w:hint="eastAsia"/>
        </w:rPr>
        <w:t>计算。</w:t>
      </w:r>
    </w:p>
    <w:p w14:paraId="3A760A14" w14:textId="77777777" w:rsidR="00FD6984" w:rsidRDefault="00000000">
      <w:pPr>
        <w:pStyle w:val="af6"/>
        <w:rPr>
          <w:vanish/>
          <w:sz w:val="24"/>
          <w:szCs w:val="24"/>
        </w:rPr>
      </w:pPr>
      <w:r>
        <w:rPr>
          <w:sz w:val="24"/>
          <w:szCs w:val="24"/>
        </w:rPr>
        <w:tab/>
      </w:r>
      <m:oMath>
        <m:sSub>
          <m:sSubPr>
            <m:ctrlPr>
              <w:rPr>
                <w:sz w:val="24"/>
                <w:szCs w:val="24"/>
              </w:rPr>
            </m:ctrlPr>
          </m:sSubPr>
          <m:e>
            <m:r>
              <w:rPr>
                <w:sz w:val="24"/>
                <w:szCs w:val="24"/>
              </w:rPr>
              <m:t>E</m:t>
            </m:r>
          </m:e>
          <m:sub>
            <m:r>
              <w:rPr>
                <w:sz w:val="24"/>
                <w:szCs w:val="24"/>
              </w:rPr>
              <m:t>bu</m:t>
            </m:r>
            <m:r>
              <m:rPr>
                <m:sty m:val="p"/>
              </m:rPr>
              <w:rPr>
                <w:sz w:val="24"/>
                <w:szCs w:val="24"/>
              </w:rPr>
              <m:t>-</m:t>
            </m:r>
            <m:sSub>
              <m:sSubPr>
                <m:ctrlPr>
                  <w:rPr>
                    <w:sz w:val="24"/>
                    <w:szCs w:val="24"/>
                  </w:rPr>
                </m:ctrlPr>
              </m:sSubPr>
              <m:e>
                <m:r>
                  <w:rPr>
                    <w:rFonts w:hint="eastAsia"/>
                    <w:sz w:val="24"/>
                    <w:szCs w:val="24"/>
                  </w:rPr>
                  <m:t>CO</m:t>
                </m:r>
              </m:e>
              <m:sub>
                <m:r>
                  <m:rPr>
                    <m:sty m:val="p"/>
                  </m:rPr>
                  <w:rPr>
                    <w:sz w:val="24"/>
                    <w:szCs w:val="24"/>
                  </w:rPr>
                  <m:t>2</m:t>
                </m:r>
              </m:sub>
            </m:sSub>
            <m:r>
              <m:rPr>
                <m:sty m:val="p"/>
              </m:rPr>
              <w:rPr>
                <w:sz w:val="24"/>
                <w:szCs w:val="24"/>
              </w:rPr>
              <m:t>,</m:t>
            </m:r>
            <m:r>
              <w:rPr>
                <w:sz w:val="24"/>
                <w:szCs w:val="24"/>
              </w:rPr>
              <m:t>r</m:t>
            </m:r>
          </m:sub>
        </m:sSub>
        <m:r>
          <m:rPr>
            <m:sty m:val="p"/>
          </m:rPr>
          <w:rPr>
            <w:sz w:val="24"/>
            <w:szCs w:val="24"/>
          </w:rPr>
          <m:t>=</m:t>
        </m:r>
        <m:nary>
          <m:naryPr>
            <m:chr m:val="∑"/>
            <m:limLoc m:val="subSup"/>
            <m:ctrlPr>
              <w:rPr>
                <w:sz w:val="24"/>
                <w:szCs w:val="24"/>
              </w:rPr>
            </m:ctrlPr>
          </m:naryPr>
          <m:sub>
            <m:r>
              <w:rPr>
                <w:sz w:val="24"/>
                <w:szCs w:val="24"/>
              </w:rPr>
              <m:t>i</m:t>
            </m:r>
            <m:r>
              <m:rPr>
                <m:sty m:val="p"/>
              </m:rPr>
              <w:rPr>
                <w:sz w:val="24"/>
                <w:szCs w:val="24"/>
              </w:rPr>
              <m:t>=1</m:t>
            </m:r>
          </m:sub>
          <m:sup>
            <m:r>
              <w:rPr>
                <w:sz w:val="24"/>
                <w:szCs w:val="24"/>
              </w:rPr>
              <m:t>m</m:t>
            </m:r>
          </m:sup>
          <m:e>
            <m:nary>
              <m:naryPr>
                <m:chr m:val="∑"/>
                <m:limLoc m:val="subSup"/>
                <m:ctrlPr>
                  <w:rPr>
                    <w:sz w:val="24"/>
                    <w:szCs w:val="24"/>
                  </w:rPr>
                </m:ctrlPr>
              </m:naryPr>
              <m:sub>
                <m:r>
                  <w:rPr>
                    <w:sz w:val="24"/>
                    <w:szCs w:val="24"/>
                  </w:rPr>
                  <m:t>j</m:t>
                </m:r>
                <m:r>
                  <m:rPr>
                    <m:sty m:val="p"/>
                  </m:rPr>
                  <w:rPr>
                    <w:sz w:val="24"/>
                    <w:szCs w:val="24"/>
                  </w:rPr>
                  <m:t>=1</m:t>
                </m:r>
              </m:sub>
              <m:sup>
                <m:r>
                  <w:rPr>
                    <w:sz w:val="24"/>
                    <w:szCs w:val="24"/>
                  </w:rPr>
                  <m:t>n</m:t>
                </m:r>
              </m:sup>
              <m:e>
                <m:sSub>
                  <m:sSubPr>
                    <m:ctrlPr>
                      <w:rPr>
                        <w:sz w:val="24"/>
                        <w:szCs w:val="24"/>
                      </w:rPr>
                    </m:ctrlPr>
                  </m:sSubPr>
                  <m:e>
                    <m:r>
                      <w:rPr>
                        <w:sz w:val="24"/>
                        <w:szCs w:val="24"/>
                      </w:rPr>
                      <m:t>E</m:t>
                    </m:r>
                  </m:e>
                  <m:sub>
                    <m:r>
                      <w:rPr>
                        <w:sz w:val="24"/>
                        <w:szCs w:val="24"/>
                      </w:rPr>
                      <m:t>bu</m:t>
                    </m:r>
                    <m:r>
                      <m:rPr>
                        <m:sty m:val="p"/>
                      </m:rPr>
                      <w:rPr>
                        <w:sz w:val="24"/>
                        <w:szCs w:val="24"/>
                      </w:rPr>
                      <m:t>-</m:t>
                    </m:r>
                    <m:sSub>
                      <m:sSubPr>
                        <m:ctrlPr>
                          <w:rPr>
                            <w:sz w:val="24"/>
                            <w:szCs w:val="24"/>
                          </w:rPr>
                        </m:ctrlPr>
                      </m:sSubPr>
                      <m:e>
                        <m:r>
                          <w:rPr>
                            <w:rFonts w:hint="eastAsia"/>
                            <w:sz w:val="24"/>
                            <w:szCs w:val="24"/>
                          </w:rPr>
                          <m:t>CO</m:t>
                        </m:r>
                      </m:e>
                      <m:sub>
                        <m:r>
                          <m:rPr>
                            <m:sty m:val="p"/>
                          </m:rPr>
                          <w:rPr>
                            <w:sz w:val="24"/>
                            <w:szCs w:val="24"/>
                          </w:rPr>
                          <m:t>2</m:t>
                        </m:r>
                      </m:sub>
                    </m:sSub>
                    <m:r>
                      <m:rPr>
                        <m:sty m:val="p"/>
                      </m:rPr>
                      <w:rPr>
                        <w:sz w:val="24"/>
                        <w:szCs w:val="24"/>
                      </w:rPr>
                      <m:t>,</m:t>
                    </m:r>
                    <m:r>
                      <w:rPr>
                        <w:rFonts w:hint="eastAsia"/>
                        <w:sz w:val="24"/>
                        <w:szCs w:val="24"/>
                      </w:rPr>
                      <m:t>i</m:t>
                    </m:r>
                    <m:r>
                      <m:rPr>
                        <m:sty m:val="p"/>
                      </m:rPr>
                      <w:rPr>
                        <w:sz w:val="24"/>
                        <w:szCs w:val="24"/>
                      </w:rPr>
                      <m:t>,</m:t>
                    </m:r>
                    <m:r>
                      <w:rPr>
                        <w:sz w:val="24"/>
                        <w:szCs w:val="24"/>
                      </w:rPr>
                      <m:t>j</m:t>
                    </m:r>
                    <m:r>
                      <m:rPr>
                        <m:sty m:val="p"/>
                      </m:rPr>
                      <w:rPr>
                        <w:sz w:val="24"/>
                        <w:szCs w:val="24"/>
                      </w:rPr>
                      <m:t>,</m:t>
                    </m:r>
                    <m:r>
                      <w:rPr>
                        <w:sz w:val="24"/>
                        <w:szCs w:val="24"/>
                      </w:rPr>
                      <m:t>r</m:t>
                    </m:r>
                  </m:sub>
                </m:sSub>
              </m:e>
            </m:nary>
          </m:e>
        </m:nary>
      </m:oMath>
      <w:r>
        <w:rPr>
          <w:sz w:val="24"/>
          <w:szCs w:val="24"/>
        </w:rPr>
        <w:tab/>
      </w:r>
      <w:r>
        <w:rPr>
          <w:sz w:val="24"/>
          <w:szCs w:val="24"/>
        </w:rPr>
        <w:tab/>
      </w:r>
      <w:bookmarkStart w:id="26" w:name="_Ref168307463"/>
    </w:p>
    <w:p w14:paraId="7E60CD7C" w14:textId="363A5B2D" w:rsidR="00FD6984" w:rsidRDefault="00000000">
      <w:pPr>
        <w:pStyle w:val="af6"/>
        <w:rPr>
          <w:sz w:val="24"/>
          <w:szCs w:val="24"/>
        </w:rPr>
      </w:pPr>
      <w:r>
        <w:rPr>
          <w:sz w:val="24"/>
          <w:szCs w:val="24"/>
        </w:rPr>
        <w:lastRenderedPageBreak/>
        <w:t xml:space="preserve"> </w:t>
      </w:r>
      <w:r>
        <w:rPr>
          <w:rFonts w:hint="eastAsia"/>
          <w:sz w:val="24"/>
          <w:szCs w:val="24"/>
        </w:rPr>
        <w:t>(</w:t>
      </w:r>
      <w:r>
        <w:rPr>
          <w:sz w:val="24"/>
          <w:szCs w:val="24"/>
        </w:rPr>
        <w:fldChar w:fldCharType="begin"/>
      </w:r>
      <w:r>
        <w:rPr>
          <w:sz w:val="24"/>
          <w:szCs w:val="24"/>
        </w:rPr>
        <w:instrText xml:space="preserve"> </w:instrText>
      </w:r>
      <w:r>
        <w:rPr>
          <w:rFonts w:hint="eastAsia"/>
          <w:sz w:val="24"/>
          <w:szCs w:val="24"/>
        </w:rPr>
        <w:instrText xml:space="preserve">SEQ </w:instrText>
      </w:r>
      <w:r>
        <w:rPr>
          <w:rFonts w:hint="eastAsia"/>
          <w:sz w:val="24"/>
          <w:szCs w:val="24"/>
        </w:rPr>
        <w:instrText>公式</w:instrText>
      </w:r>
      <w:r>
        <w:rPr>
          <w:rFonts w:hint="eastAsia"/>
          <w:sz w:val="24"/>
          <w:szCs w:val="24"/>
        </w:rPr>
        <w:instrText xml:space="preserve"> \* ARABIC</w:instrText>
      </w:r>
      <w:r>
        <w:rPr>
          <w:sz w:val="24"/>
          <w:szCs w:val="24"/>
        </w:rPr>
        <w:instrText xml:space="preserve"> </w:instrText>
      </w:r>
      <w:r>
        <w:rPr>
          <w:sz w:val="24"/>
          <w:szCs w:val="24"/>
        </w:rPr>
        <w:fldChar w:fldCharType="separate"/>
      </w:r>
      <w:r w:rsidR="00CD3467">
        <w:rPr>
          <w:noProof/>
          <w:sz w:val="24"/>
          <w:szCs w:val="24"/>
        </w:rPr>
        <w:t>4</w:t>
      </w:r>
      <w:r>
        <w:rPr>
          <w:sz w:val="24"/>
          <w:szCs w:val="24"/>
        </w:rPr>
        <w:fldChar w:fldCharType="end"/>
      </w:r>
      <w:r>
        <w:rPr>
          <w:rFonts w:hint="eastAsia"/>
          <w:sz w:val="24"/>
          <w:szCs w:val="24"/>
        </w:rPr>
        <w:t>)</w:t>
      </w:r>
      <w:bookmarkEnd w:id="26"/>
    </w:p>
    <w:p w14:paraId="62B81823" w14:textId="77777777" w:rsidR="00FD6984" w:rsidRDefault="00000000">
      <w:pPr>
        <w:ind w:firstLine="420"/>
      </w:pPr>
      <w:r>
        <w:rPr>
          <w:rFonts w:hint="eastAsia"/>
        </w:rPr>
        <w:t>式中：</w:t>
      </w:r>
    </w:p>
    <w:p w14:paraId="4B82EDED" w14:textId="77777777" w:rsidR="00FD6984" w:rsidRDefault="00000000">
      <w:pPr>
        <w:ind w:firstLine="420"/>
      </w:pPr>
      <m:oMath>
        <m:sSub>
          <m:sSubPr>
            <m:ctrlPr>
              <w:rPr>
                <w:rFonts w:ascii="Cambria Math" w:hAnsi="Cambria Math"/>
              </w:rPr>
            </m:ctrlPr>
          </m:sSubPr>
          <m:e>
            <m:r>
              <w:rPr>
                <w:rFonts w:ascii="Cambria Math" w:hAnsi="Cambria Math"/>
              </w:rPr>
              <m:t>E</m:t>
            </m:r>
          </m:e>
          <m:sub>
            <m:r>
              <w:rPr>
                <w:rFonts w:ascii="Cambria Math" w:hAnsi="Cambria Math"/>
              </w:rPr>
              <m:t>bu</m:t>
            </m:r>
            <m:r>
              <m:rPr>
                <m:sty m:val="p"/>
              </m:rPr>
              <w:rPr>
                <w:rFonts w:ascii="Cambria Math" w:hAnsi="Cambria Math"/>
              </w:rPr>
              <m:t>-</m:t>
            </m:r>
            <m:sSub>
              <m:sSubPr>
                <m:ctrlPr>
                  <w:rPr>
                    <w:rFonts w:ascii="Cambria Math" w:hAnsi="Cambria Math"/>
                  </w:rPr>
                </m:ctrlPr>
              </m:sSubPr>
              <m:e>
                <m:r>
                  <w:rPr>
                    <w:rFonts w:ascii="Cambria Math" w:hAnsi="Cambria Math" w:hint="eastAsia"/>
                  </w:rPr>
                  <m:t>CO</m:t>
                </m:r>
              </m:e>
              <m:sub>
                <m:r>
                  <m:rPr>
                    <m:sty m:val="p"/>
                  </m:rPr>
                  <w:rPr>
                    <w:rFonts w:ascii="Cambria Math" w:hAnsi="Cambria Math"/>
                  </w:rPr>
                  <m:t>2</m:t>
                </m:r>
              </m:sub>
            </m:sSub>
            <m:r>
              <m:rPr>
                <m:sty m:val="p"/>
              </m:rPr>
              <w:rPr>
                <w:rFonts w:ascii="Cambria Math" w:hAnsi="Cambria Math"/>
              </w:rPr>
              <m:t>,</m:t>
            </m:r>
            <m:r>
              <w:rPr>
                <w:rFonts w:ascii="Cambria Math" w:hAnsi="Cambria Math" w:hint="eastAsia"/>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r</m:t>
            </m:r>
          </m:sub>
        </m:sSub>
      </m:oMath>
      <w:r>
        <w:t>——</w:t>
      </w:r>
      <w:r>
        <w:rPr>
          <w:rFonts w:hint="eastAsia"/>
        </w:rPr>
        <w:t>第</w:t>
      </w:r>
      <w:proofErr w:type="spellStart"/>
      <w:r>
        <w:rPr>
          <w:i/>
          <w:iCs/>
        </w:rPr>
        <w:t>i</w:t>
      </w:r>
      <w:proofErr w:type="spellEnd"/>
      <w:r>
        <w:rPr>
          <w:rFonts w:hint="eastAsia"/>
        </w:rPr>
        <w:t>类</w:t>
      </w:r>
      <w:r>
        <w:t>车型使用</w:t>
      </w:r>
      <w:r>
        <w:rPr>
          <w:rFonts w:hint="eastAsia"/>
        </w:rPr>
        <w:t>第</w:t>
      </w:r>
      <w:r>
        <w:rPr>
          <w:i/>
          <w:iCs/>
        </w:rPr>
        <w:t>j</w:t>
      </w:r>
      <w:r>
        <w:rPr>
          <w:rFonts w:hint="eastAsia"/>
        </w:rPr>
        <w:t>种</w:t>
      </w:r>
      <w:r>
        <w:t>化石燃料行驶在区间</w:t>
      </w:r>
      <w:r>
        <w:rPr>
          <w:i/>
          <w:iCs/>
        </w:rPr>
        <w:t>r</w:t>
      </w:r>
      <w:r>
        <w:t>的二氧化碳排放量</w:t>
      </w:r>
      <w:r>
        <w:rPr>
          <w:rFonts w:hint="eastAsia"/>
        </w:rPr>
        <w:t>，</w:t>
      </w:r>
      <w:proofErr w:type="gramStart"/>
      <w:r>
        <w:rPr>
          <w:rFonts w:hint="eastAsia"/>
        </w:rPr>
        <w:t>单位为吨二氧化碳</w:t>
      </w:r>
      <w:proofErr w:type="gramEnd"/>
      <w:r>
        <w:rPr>
          <w:rFonts w:hint="eastAsia"/>
        </w:rPr>
        <w:t>(</w:t>
      </w:r>
      <w:r>
        <w:t>tCO</w:t>
      </w:r>
      <w:r>
        <w:rPr>
          <w:vertAlign w:val="subscript"/>
        </w:rPr>
        <w:t>2</w:t>
      </w:r>
      <w:r>
        <w:t>)</w:t>
      </w:r>
      <w:r>
        <w:rPr>
          <w:rFonts w:hint="eastAsia"/>
        </w:rPr>
        <w:t>；</w:t>
      </w:r>
    </w:p>
    <w:p w14:paraId="51BF0153" w14:textId="77777777" w:rsidR="00FD6984" w:rsidRDefault="00000000">
      <w:pPr>
        <w:ind w:firstLine="420"/>
      </w:pPr>
      <m:oMath>
        <m:r>
          <w:rPr>
            <w:rFonts w:ascii="Cambria Math" w:hAnsi="Cambria Math" w:hint="eastAsia"/>
          </w:rPr>
          <m:t>i</m:t>
        </m:r>
      </m:oMath>
      <w:r>
        <w:t>——</w:t>
      </w:r>
      <w:r>
        <w:rPr>
          <w:rFonts w:hint="eastAsia"/>
        </w:rPr>
        <w:t>车型类别；</w:t>
      </w:r>
    </w:p>
    <w:p w14:paraId="27A2A6C5" w14:textId="77777777" w:rsidR="00FD6984" w:rsidRDefault="00000000">
      <w:pPr>
        <w:ind w:firstLine="420"/>
      </w:pPr>
      <m:oMath>
        <m:r>
          <w:rPr>
            <w:rFonts w:ascii="Cambria Math" w:hAnsi="Cambria Math" w:hint="eastAsia"/>
          </w:rPr>
          <m:t>j</m:t>
        </m:r>
      </m:oMath>
      <w:r>
        <w:t>——</w:t>
      </w:r>
      <w:r>
        <w:rPr>
          <w:rFonts w:hint="eastAsia"/>
        </w:rPr>
        <w:t>化石燃料类型。</w:t>
      </w:r>
    </w:p>
    <w:p w14:paraId="25E49056" w14:textId="77777777" w:rsidR="00FD6984" w:rsidRDefault="00000000">
      <w:pPr>
        <w:pStyle w:val="af6"/>
        <w:ind w:firstLineChars="200" w:firstLine="480"/>
        <w:rPr>
          <w:sz w:val="24"/>
          <w:szCs w:val="24"/>
        </w:rPr>
      </w:pPr>
      <w:r>
        <w:rPr>
          <w:rFonts w:hint="eastAsia"/>
          <w:sz w:val="24"/>
          <w:szCs w:val="24"/>
        </w:rPr>
        <w:t>电力消费产生的间接二氧化碳是移动源中电动车型使用电力驱动产生的间接二氧化碳排放量之和，电力消费产生的间接碳排放量</w:t>
      </w:r>
      <m:oMath>
        <m:sSub>
          <m:sSubPr>
            <m:ctrlPr>
              <w:rPr>
                <w:sz w:val="24"/>
                <w:szCs w:val="24"/>
              </w:rPr>
            </m:ctrlPr>
          </m:sSubPr>
          <m:e>
            <m:r>
              <w:rPr>
                <w:sz w:val="24"/>
                <w:szCs w:val="24"/>
              </w:rPr>
              <m:t>E</m:t>
            </m:r>
          </m:e>
          <m:sub>
            <m:r>
              <w:rPr>
                <w:sz w:val="24"/>
                <w:szCs w:val="24"/>
              </w:rPr>
              <m:t>e-</m:t>
            </m:r>
            <m:sSub>
              <m:sSubPr>
                <m:ctrlPr>
                  <w:rPr>
                    <w:i/>
                    <w:sz w:val="24"/>
                    <w:szCs w:val="24"/>
                  </w:rPr>
                </m:ctrlPr>
              </m:sSubPr>
              <m:e>
                <m:r>
                  <w:rPr>
                    <w:rFonts w:hint="eastAsia"/>
                    <w:sz w:val="24"/>
                    <w:szCs w:val="24"/>
                  </w:rPr>
                  <m:t>CO</m:t>
                </m:r>
              </m:e>
              <m:sub>
                <m:r>
                  <w:rPr>
                    <w:sz w:val="24"/>
                    <w:szCs w:val="24"/>
                  </w:rPr>
                  <m:t>2</m:t>
                </m:r>
              </m:sub>
            </m:sSub>
            <m:r>
              <m:rPr>
                <m:sty m:val="p"/>
              </m:rPr>
              <w:rPr>
                <w:sz w:val="24"/>
                <w:szCs w:val="24"/>
              </w:rPr>
              <m:t>,</m:t>
            </m:r>
            <m:r>
              <w:rPr>
                <w:sz w:val="24"/>
                <w:szCs w:val="24"/>
              </w:rPr>
              <m:t>r</m:t>
            </m:r>
          </m:sub>
        </m:sSub>
      </m:oMath>
      <w:r>
        <w:rPr>
          <w:rFonts w:hint="eastAsia"/>
          <w:sz w:val="24"/>
          <w:szCs w:val="24"/>
        </w:rPr>
        <w:t>按公式（</w:t>
      </w:r>
      <w:r>
        <w:rPr>
          <w:rFonts w:hint="eastAsia"/>
          <w:sz w:val="24"/>
          <w:szCs w:val="24"/>
        </w:rPr>
        <w:t>5</w:t>
      </w:r>
      <w:r>
        <w:rPr>
          <w:rFonts w:hint="eastAsia"/>
          <w:sz w:val="24"/>
          <w:szCs w:val="24"/>
        </w:rPr>
        <w:t>）计算。</w:t>
      </w:r>
    </w:p>
    <w:p w14:paraId="345941E4" w14:textId="77777777" w:rsidR="00FD6984" w:rsidRDefault="00000000">
      <w:pPr>
        <w:pStyle w:val="af6"/>
        <w:rPr>
          <w:vanish/>
          <w:sz w:val="24"/>
          <w:szCs w:val="24"/>
        </w:rPr>
      </w:pPr>
      <w:r>
        <w:rPr>
          <w:sz w:val="24"/>
          <w:szCs w:val="24"/>
        </w:rPr>
        <w:tab/>
      </w:r>
      <m:oMath>
        <m:sSub>
          <m:sSubPr>
            <m:ctrlPr>
              <w:rPr>
                <w:sz w:val="24"/>
                <w:szCs w:val="24"/>
              </w:rPr>
            </m:ctrlPr>
          </m:sSubPr>
          <m:e>
            <m:r>
              <w:rPr>
                <w:sz w:val="24"/>
                <w:szCs w:val="24"/>
              </w:rPr>
              <m:t>E</m:t>
            </m:r>
          </m:e>
          <m:sub>
            <m:r>
              <w:rPr>
                <w:sz w:val="24"/>
                <w:szCs w:val="24"/>
              </w:rPr>
              <m:t>e</m:t>
            </m:r>
            <m:r>
              <m:rPr>
                <m:sty m:val="p"/>
              </m:rPr>
              <w:rPr>
                <w:sz w:val="24"/>
                <w:szCs w:val="24"/>
              </w:rPr>
              <m:t>-</m:t>
            </m:r>
            <m:sSub>
              <m:sSubPr>
                <m:ctrlPr>
                  <w:rPr>
                    <w:sz w:val="24"/>
                    <w:szCs w:val="24"/>
                  </w:rPr>
                </m:ctrlPr>
              </m:sSubPr>
              <m:e>
                <m:r>
                  <w:rPr>
                    <w:rFonts w:hint="eastAsia"/>
                    <w:sz w:val="24"/>
                    <w:szCs w:val="24"/>
                  </w:rPr>
                  <m:t>CO</m:t>
                </m:r>
              </m:e>
              <m:sub>
                <m:r>
                  <m:rPr>
                    <m:sty m:val="p"/>
                  </m:rPr>
                  <w:rPr>
                    <w:sz w:val="24"/>
                    <w:szCs w:val="24"/>
                  </w:rPr>
                  <m:t>2</m:t>
                </m:r>
              </m:sub>
            </m:sSub>
            <m:r>
              <m:rPr>
                <m:sty m:val="p"/>
              </m:rPr>
              <w:rPr>
                <w:sz w:val="24"/>
                <w:szCs w:val="24"/>
              </w:rPr>
              <m:t>,</m:t>
            </m:r>
            <m:r>
              <w:rPr>
                <w:sz w:val="24"/>
                <w:szCs w:val="24"/>
              </w:rPr>
              <m:t>r</m:t>
            </m:r>
          </m:sub>
        </m:sSub>
        <m:r>
          <m:rPr>
            <m:sty m:val="p"/>
          </m:rPr>
          <w:rPr>
            <w:sz w:val="24"/>
            <w:szCs w:val="24"/>
          </w:rPr>
          <m:t>=</m:t>
        </m:r>
        <m:nary>
          <m:naryPr>
            <m:chr m:val="∑"/>
            <m:limLoc m:val="subSup"/>
            <m:ctrlPr>
              <w:rPr>
                <w:sz w:val="24"/>
                <w:szCs w:val="24"/>
              </w:rPr>
            </m:ctrlPr>
          </m:naryPr>
          <m:sub>
            <m:r>
              <w:rPr>
                <w:sz w:val="24"/>
                <w:szCs w:val="24"/>
              </w:rPr>
              <m:t>i</m:t>
            </m:r>
            <m:r>
              <m:rPr>
                <m:sty m:val="p"/>
              </m:rPr>
              <w:rPr>
                <w:sz w:val="24"/>
                <w:szCs w:val="24"/>
              </w:rPr>
              <m:t>=1</m:t>
            </m:r>
          </m:sub>
          <m:sup>
            <m:r>
              <w:rPr>
                <w:sz w:val="24"/>
                <w:szCs w:val="24"/>
              </w:rPr>
              <m:t>m</m:t>
            </m:r>
          </m:sup>
          <m:e>
            <w:bookmarkStart w:id="27" w:name="_Hlk168302445"/>
            <m:sSub>
              <m:sSubPr>
                <m:ctrlPr>
                  <w:rPr>
                    <w:sz w:val="24"/>
                    <w:szCs w:val="24"/>
                  </w:rPr>
                </m:ctrlPr>
              </m:sSubPr>
              <m:e>
                <m:r>
                  <w:rPr>
                    <w:sz w:val="24"/>
                    <w:szCs w:val="24"/>
                  </w:rPr>
                  <m:t>E</m:t>
                </m:r>
              </m:e>
              <m:sub>
                <m:r>
                  <w:rPr>
                    <w:sz w:val="24"/>
                    <w:szCs w:val="24"/>
                  </w:rPr>
                  <m:t>e</m:t>
                </m:r>
                <m:r>
                  <m:rPr>
                    <m:sty m:val="p"/>
                  </m:rPr>
                  <w:rPr>
                    <w:sz w:val="24"/>
                    <w:szCs w:val="24"/>
                  </w:rPr>
                  <m:t>-</m:t>
                </m:r>
                <m:sSub>
                  <m:sSubPr>
                    <m:ctrlPr>
                      <w:rPr>
                        <w:sz w:val="24"/>
                        <w:szCs w:val="24"/>
                      </w:rPr>
                    </m:ctrlPr>
                  </m:sSubPr>
                  <m:e>
                    <m:r>
                      <w:rPr>
                        <w:sz w:val="24"/>
                        <w:szCs w:val="24"/>
                      </w:rPr>
                      <m:t>CO</m:t>
                    </m:r>
                  </m:e>
                  <m:sub>
                    <m:r>
                      <m:rPr>
                        <m:sty m:val="p"/>
                      </m:rPr>
                      <w:rPr>
                        <w:sz w:val="24"/>
                        <w:szCs w:val="24"/>
                      </w:rPr>
                      <m:t>2</m:t>
                    </m:r>
                  </m:sub>
                </m:sSub>
                <m:r>
                  <m:rPr>
                    <m:sty m:val="p"/>
                  </m:rPr>
                  <w:rPr>
                    <w:sz w:val="24"/>
                    <w:szCs w:val="24"/>
                  </w:rPr>
                  <m:t>,</m:t>
                </m:r>
                <m:r>
                  <w:rPr>
                    <w:rFonts w:hint="eastAsia"/>
                    <w:sz w:val="24"/>
                    <w:szCs w:val="24"/>
                  </w:rPr>
                  <m:t>i</m:t>
                </m:r>
                <m:r>
                  <m:rPr>
                    <m:sty m:val="p"/>
                  </m:rPr>
                  <w:rPr>
                    <w:sz w:val="24"/>
                    <w:szCs w:val="24"/>
                  </w:rPr>
                  <m:t>,</m:t>
                </m:r>
                <m:r>
                  <w:rPr>
                    <w:sz w:val="24"/>
                    <w:szCs w:val="24"/>
                  </w:rPr>
                  <m:t>r</m:t>
                </m:r>
              </m:sub>
            </m:sSub>
            <w:bookmarkEnd w:id="27"/>
          </m:e>
        </m:nary>
      </m:oMath>
      <w:r>
        <w:rPr>
          <w:sz w:val="24"/>
          <w:szCs w:val="24"/>
        </w:rPr>
        <w:tab/>
      </w:r>
      <w:r>
        <w:rPr>
          <w:sz w:val="24"/>
          <w:szCs w:val="24"/>
        </w:rPr>
        <w:tab/>
      </w:r>
      <w:bookmarkStart w:id="28" w:name="_Ref168307471"/>
    </w:p>
    <w:p w14:paraId="7667E541" w14:textId="198591DD" w:rsidR="00FD6984" w:rsidRDefault="00000000">
      <w:pPr>
        <w:pStyle w:val="af6"/>
        <w:rPr>
          <w:sz w:val="24"/>
          <w:szCs w:val="24"/>
        </w:rPr>
      </w:pPr>
      <w:r>
        <w:rPr>
          <w:sz w:val="24"/>
          <w:szCs w:val="24"/>
        </w:rPr>
        <w:t xml:space="preserve"> </w:t>
      </w:r>
      <w:r>
        <w:rPr>
          <w:rFonts w:hint="eastAsia"/>
          <w:sz w:val="24"/>
          <w:szCs w:val="24"/>
        </w:rPr>
        <w:t>(</w:t>
      </w:r>
      <w:r>
        <w:rPr>
          <w:sz w:val="24"/>
          <w:szCs w:val="24"/>
        </w:rPr>
        <w:fldChar w:fldCharType="begin"/>
      </w:r>
      <w:r>
        <w:rPr>
          <w:sz w:val="24"/>
          <w:szCs w:val="24"/>
        </w:rPr>
        <w:instrText xml:space="preserve"> </w:instrText>
      </w:r>
      <w:r>
        <w:rPr>
          <w:rFonts w:hint="eastAsia"/>
          <w:sz w:val="24"/>
          <w:szCs w:val="24"/>
        </w:rPr>
        <w:instrText xml:space="preserve">SEQ </w:instrText>
      </w:r>
      <w:r>
        <w:rPr>
          <w:rFonts w:hint="eastAsia"/>
          <w:sz w:val="24"/>
          <w:szCs w:val="24"/>
        </w:rPr>
        <w:instrText>公式</w:instrText>
      </w:r>
      <w:r>
        <w:rPr>
          <w:rFonts w:hint="eastAsia"/>
          <w:sz w:val="24"/>
          <w:szCs w:val="24"/>
        </w:rPr>
        <w:instrText xml:space="preserve"> \* ARABIC</w:instrText>
      </w:r>
      <w:r>
        <w:rPr>
          <w:sz w:val="24"/>
          <w:szCs w:val="24"/>
        </w:rPr>
        <w:instrText xml:space="preserve"> </w:instrText>
      </w:r>
      <w:r>
        <w:rPr>
          <w:sz w:val="24"/>
          <w:szCs w:val="24"/>
        </w:rPr>
        <w:fldChar w:fldCharType="separate"/>
      </w:r>
      <w:r w:rsidR="00CD3467">
        <w:rPr>
          <w:noProof/>
          <w:sz w:val="24"/>
          <w:szCs w:val="24"/>
        </w:rPr>
        <w:t>5</w:t>
      </w:r>
      <w:r>
        <w:rPr>
          <w:sz w:val="24"/>
          <w:szCs w:val="24"/>
        </w:rPr>
        <w:fldChar w:fldCharType="end"/>
      </w:r>
      <w:r>
        <w:rPr>
          <w:rFonts w:hint="eastAsia"/>
          <w:sz w:val="24"/>
          <w:szCs w:val="24"/>
        </w:rPr>
        <w:t>)</w:t>
      </w:r>
      <w:bookmarkEnd w:id="28"/>
    </w:p>
    <w:p w14:paraId="0AD2F197" w14:textId="77777777" w:rsidR="00FD6984" w:rsidRDefault="00000000">
      <w:pPr>
        <w:ind w:firstLine="420"/>
        <w:rPr>
          <w:iCs/>
        </w:rPr>
      </w:pPr>
      <w:r>
        <w:rPr>
          <w:rFonts w:hint="eastAsia"/>
          <w:iCs/>
        </w:rPr>
        <w:t>式中：</w:t>
      </w:r>
    </w:p>
    <w:p w14:paraId="598AF4D0" w14:textId="77777777" w:rsidR="00FD6984" w:rsidRDefault="00000000">
      <w:pPr>
        <w:ind w:firstLine="420"/>
      </w:pPr>
      <m:oMath>
        <m:sSub>
          <m:sSubPr>
            <m:ctrlPr>
              <w:rPr>
                <w:rFonts w:ascii="Cambria Math" w:hAnsi="Cambria Math"/>
              </w:rPr>
            </m:ctrlPr>
          </m:sSubPr>
          <m:e>
            <m:r>
              <w:rPr>
                <w:rFonts w:ascii="Cambria Math" w:hAnsi="Cambria Math"/>
              </w:rPr>
              <m:t>E</m:t>
            </m:r>
          </m:e>
          <m:sub>
            <m:r>
              <w:rPr>
                <w:rFonts w:ascii="Cambria Math" w:hAnsi="Cambria Math"/>
              </w:rPr>
              <m:t>e</m:t>
            </m:r>
            <m:r>
              <m:rPr>
                <m:sty m:val="p"/>
              </m:rPr>
              <w:rPr>
                <w:rFonts w:ascii="Cambria Math" w:hAnsi="Cambria Math"/>
              </w:rPr>
              <m:t>-</m:t>
            </m:r>
            <m:sSub>
              <m:sSubPr>
                <m:ctrlPr>
                  <w:rPr>
                    <w:rFonts w:ascii="Cambria Math" w:hAnsi="Cambria Math"/>
                  </w:rPr>
                </m:ctrlPr>
              </m:sSubPr>
              <m:e>
                <m:r>
                  <w:rPr>
                    <w:rFonts w:ascii="Cambria Math" w:hAnsi="Cambria Math"/>
                  </w:rPr>
                  <m:t>CO</m:t>
                </m:r>
              </m:e>
              <m:sub>
                <m:r>
                  <m:rPr>
                    <m:sty m:val="p"/>
                  </m:rPr>
                  <w:rPr>
                    <w:rFonts w:ascii="Cambria Math" w:hAnsi="Cambria Math"/>
                  </w:rPr>
                  <m:t>2</m:t>
                </m:r>
              </m:sub>
            </m:sSub>
            <m:r>
              <m:rPr>
                <m:sty m:val="p"/>
              </m:rPr>
              <w:rPr>
                <w:rFonts w:ascii="Cambria Math" w:hAnsi="Cambria Math"/>
              </w:rPr>
              <m:t>,</m:t>
            </m:r>
            <m:r>
              <w:rPr>
                <w:rFonts w:ascii="Cambria Math" w:hAnsi="Cambria Math" w:hint="eastAsia"/>
              </w:rPr>
              <m:t>i</m:t>
            </m:r>
            <m:r>
              <m:rPr>
                <m:sty m:val="p"/>
              </m:rPr>
              <w:rPr>
                <w:rFonts w:ascii="Cambria Math" w:hAnsi="Cambria Math"/>
              </w:rPr>
              <m:t>,</m:t>
            </m:r>
            <m:r>
              <w:rPr>
                <w:rFonts w:ascii="Cambria Math" w:hAnsi="Cambria Math"/>
              </w:rPr>
              <m:t>r</m:t>
            </m:r>
          </m:sub>
        </m:sSub>
      </m:oMath>
      <w:r>
        <w:t>——</w:t>
      </w:r>
      <w:r>
        <w:t>第</w:t>
      </w:r>
      <w:proofErr w:type="spellStart"/>
      <w:r>
        <w:rPr>
          <w:i/>
          <w:iCs/>
        </w:rPr>
        <w:t>i</w:t>
      </w:r>
      <w:proofErr w:type="spellEnd"/>
      <w:r>
        <w:t>类车型</w:t>
      </w:r>
      <w:r>
        <w:rPr>
          <w:rFonts w:hint="eastAsia"/>
        </w:rPr>
        <w:t>使用电力</w:t>
      </w:r>
      <w:r>
        <w:rPr>
          <w:rFonts w:hint="eastAsia"/>
        </w:rPr>
        <w:t>e</w:t>
      </w:r>
      <w:r>
        <w:rPr>
          <w:rFonts w:hint="eastAsia"/>
        </w:rPr>
        <w:t>驱动行驶在区间</w:t>
      </w:r>
      <w:r>
        <w:rPr>
          <w:i/>
          <w:iCs/>
        </w:rPr>
        <w:t>r</w:t>
      </w:r>
      <w:r>
        <w:rPr>
          <w:rFonts w:hint="eastAsia"/>
        </w:rPr>
        <w:t>上的间接二氧化碳排放量，</w:t>
      </w:r>
      <w:proofErr w:type="gramStart"/>
      <w:r>
        <w:rPr>
          <w:rFonts w:hint="eastAsia"/>
        </w:rPr>
        <w:t>单位为吨二氧化碳</w:t>
      </w:r>
      <w:proofErr w:type="gramEnd"/>
      <w:r>
        <w:rPr>
          <w:rFonts w:hint="eastAsia"/>
        </w:rPr>
        <w:t>(</w:t>
      </w:r>
      <w:r>
        <w:t>tCO</w:t>
      </w:r>
      <w:r>
        <w:rPr>
          <w:vertAlign w:val="subscript"/>
        </w:rPr>
        <w:t>2</w:t>
      </w:r>
      <w:r>
        <w:t>)</w:t>
      </w:r>
      <w:r>
        <w:rPr>
          <w:rFonts w:hint="eastAsia"/>
        </w:rPr>
        <w:t>；</w:t>
      </w:r>
    </w:p>
    <w:p w14:paraId="635B7EC9" w14:textId="77777777" w:rsidR="00FD6984" w:rsidRDefault="00000000">
      <w:pPr>
        <w:ind w:firstLine="420"/>
      </w:pPr>
      <m:oMath>
        <m:r>
          <w:rPr>
            <w:rFonts w:ascii="Cambria Math" w:hAnsi="Cambria Math" w:hint="eastAsia"/>
          </w:rPr>
          <m:t>i</m:t>
        </m:r>
      </m:oMath>
      <w:r>
        <w:t>——</w:t>
      </w:r>
      <w:r>
        <w:rPr>
          <w:rFonts w:hint="eastAsia"/>
        </w:rPr>
        <w:t>车型类别。</w:t>
      </w:r>
    </w:p>
    <w:p w14:paraId="481BCB4C" w14:textId="77777777" w:rsidR="00FD6984" w:rsidRDefault="00FD6984">
      <w:pPr>
        <w:rPr>
          <w:iCs/>
        </w:rPr>
      </w:pPr>
    </w:p>
    <w:p w14:paraId="6D52FA20" w14:textId="4412EB62" w:rsidR="00FD6984" w:rsidRDefault="00000000">
      <w:pPr>
        <w:pStyle w:val="a3"/>
      </w:pPr>
      <w:r>
        <w:t>表</w:t>
      </w:r>
      <w:r>
        <w:t xml:space="preserve"> </w:t>
      </w:r>
      <w:r>
        <w:fldChar w:fldCharType="begin"/>
      </w:r>
      <w:r>
        <w:instrText xml:space="preserve"> SEQ </w:instrText>
      </w:r>
      <w:r>
        <w:instrText>表</w:instrText>
      </w:r>
      <w:r>
        <w:instrText xml:space="preserve"> \* ARABIC </w:instrText>
      </w:r>
      <w:r>
        <w:fldChar w:fldCharType="separate"/>
      </w:r>
      <w:r w:rsidR="00CD3467">
        <w:rPr>
          <w:noProof/>
        </w:rPr>
        <w:t>8</w:t>
      </w:r>
      <w:r>
        <w:fldChar w:fldCharType="end"/>
      </w:r>
      <w:r>
        <w:t xml:space="preserve"> </w:t>
      </w:r>
      <w:r>
        <w:rPr>
          <w:rFonts w:hint="eastAsia"/>
        </w:rPr>
        <w:t>其他新能源车型碳排放核算方法</w:t>
      </w:r>
    </w:p>
    <w:tbl>
      <w:tblPr>
        <w:tblStyle w:val="ae"/>
        <w:tblW w:w="9526" w:type="dxa"/>
        <w:tblLook w:val="04A0" w:firstRow="1" w:lastRow="0" w:firstColumn="1" w:lastColumn="0" w:noHBand="0" w:noVBand="1"/>
      </w:tblPr>
      <w:tblGrid>
        <w:gridCol w:w="2761"/>
        <w:gridCol w:w="3731"/>
        <w:gridCol w:w="3034"/>
      </w:tblGrid>
      <w:tr w:rsidR="00FD6984" w14:paraId="75530309" w14:textId="77777777">
        <w:trPr>
          <w:trHeight w:val="544"/>
        </w:trPr>
        <w:tc>
          <w:tcPr>
            <w:tcW w:w="2761" w:type="dxa"/>
            <w:tcBorders>
              <w:top w:val="single" w:sz="12" w:space="0" w:color="auto"/>
              <w:left w:val="single" w:sz="12" w:space="0" w:color="auto"/>
              <w:bottom w:val="single" w:sz="12" w:space="0" w:color="auto"/>
            </w:tcBorders>
            <w:vAlign w:val="center"/>
          </w:tcPr>
          <w:p w14:paraId="23527D76" w14:textId="77777777" w:rsidR="00FD6984" w:rsidRDefault="00000000">
            <w:pPr>
              <w:pStyle w:val="af9"/>
            </w:pPr>
            <w:r>
              <w:rPr>
                <w:rFonts w:hint="eastAsia"/>
              </w:rPr>
              <w:t>其他车型</w:t>
            </w:r>
          </w:p>
        </w:tc>
        <w:tc>
          <w:tcPr>
            <w:tcW w:w="3731" w:type="dxa"/>
            <w:tcBorders>
              <w:top w:val="single" w:sz="12" w:space="0" w:color="auto"/>
              <w:bottom w:val="single" w:sz="12" w:space="0" w:color="auto"/>
            </w:tcBorders>
            <w:vAlign w:val="center"/>
          </w:tcPr>
          <w:p w14:paraId="2EA3D7A2" w14:textId="77777777" w:rsidR="00FD6984" w:rsidRDefault="00000000">
            <w:pPr>
              <w:pStyle w:val="af9"/>
            </w:pPr>
            <w:r>
              <w:rPr>
                <w:rFonts w:hint="eastAsia"/>
              </w:rPr>
              <w:t>所含燃料种类</w:t>
            </w:r>
          </w:p>
        </w:tc>
        <w:tc>
          <w:tcPr>
            <w:tcW w:w="3034" w:type="dxa"/>
            <w:tcBorders>
              <w:top w:val="single" w:sz="12" w:space="0" w:color="auto"/>
              <w:bottom w:val="single" w:sz="12" w:space="0" w:color="auto"/>
              <w:right w:val="single" w:sz="12" w:space="0" w:color="auto"/>
            </w:tcBorders>
            <w:vAlign w:val="center"/>
          </w:tcPr>
          <w:p w14:paraId="5E942B6E" w14:textId="77777777" w:rsidR="00FD6984" w:rsidRDefault="00000000">
            <w:pPr>
              <w:pStyle w:val="af9"/>
            </w:pPr>
            <w:r>
              <w:rPr>
                <w:rFonts w:hint="eastAsia"/>
              </w:rPr>
              <w:t>核算方法</w:t>
            </w:r>
          </w:p>
        </w:tc>
      </w:tr>
      <w:tr w:rsidR="00FD6984" w14:paraId="6D0C7D2B" w14:textId="77777777">
        <w:trPr>
          <w:trHeight w:val="528"/>
        </w:trPr>
        <w:tc>
          <w:tcPr>
            <w:tcW w:w="2761" w:type="dxa"/>
            <w:tcBorders>
              <w:top w:val="single" w:sz="12" w:space="0" w:color="auto"/>
              <w:left w:val="single" w:sz="12" w:space="0" w:color="auto"/>
              <w:bottom w:val="single" w:sz="4" w:space="0" w:color="auto"/>
            </w:tcBorders>
            <w:vAlign w:val="center"/>
          </w:tcPr>
          <w:p w14:paraId="0CA85593" w14:textId="77777777" w:rsidR="00FD6984" w:rsidRDefault="00000000">
            <w:pPr>
              <w:pStyle w:val="af9"/>
            </w:pPr>
            <w:r>
              <w:rPr>
                <w:rFonts w:hint="eastAsia"/>
              </w:rPr>
              <w:t>混合动力类</w:t>
            </w:r>
          </w:p>
        </w:tc>
        <w:tc>
          <w:tcPr>
            <w:tcW w:w="3731" w:type="dxa"/>
            <w:tcBorders>
              <w:top w:val="single" w:sz="12" w:space="0" w:color="auto"/>
              <w:bottom w:val="single" w:sz="4" w:space="0" w:color="auto"/>
            </w:tcBorders>
            <w:vAlign w:val="center"/>
          </w:tcPr>
          <w:p w14:paraId="30E7B20F" w14:textId="77777777" w:rsidR="00FD6984" w:rsidRDefault="00000000">
            <w:pPr>
              <w:pStyle w:val="af9"/>
            </w:pPr>
            <w:r>
              <w:rPr>
                <w:rFonts w:hint="eastAsia"/>
              </w:rPr>
              <w:t>汽油或柴油、电能</w:t>
            </w:r>
          </w:p>
        </w:tc>
        <w:tc>
          <w:tcPr>
            <w:tcW w:w="3034" w:type="dxa"/>
            <w:tcBorders>
              <w:top w:val="single" w:sz="12" w:space="0" w:color="auto"/>
              <w:bottom w:val="single" w:sz="4" w:space="0" w:color="auto"/>
              <w:right w:val="single" w:sz="12" w:space="0" w:color="auto"/>
            </w:tcBorders>
            <w:vAlign w:val="center"/>
          </w:tcPr>
          <w:p w14:paraId="43A6B221" w14:textId="77777777" w:rsidR="00FD6984" w:rsidRDefault="00000000">
            <w:pPr>
              <w:pStyle w:val="af9"/>
            </w:pPr>
            <w:r>
              <w:rPr>
                <w:rFonts w:hint="eastAsia"/>
              </w:rPr>
              <w:t>高速公路工况下混合动力车通常使用汽油或柴油等单一化石燃料提供动力，按</w:t>
            </w:r>
            <w:r>
              <w:rPr>
                <w:rFonts w:hint="eastAsia"/>
              </w:rPr>
              <w:t xml:space="preserve">7.4 </w:t>
            </w:r>
            <w:r>
              <w:rPr>
                <w:rFonts w:hint="eastAsia"/>
              </w:rPr>
              <w:t>节的公式计算。</w:t>
            </w:r>
          </w:p>
        </w:tc>
      </w:tr>
      <w:tr w:rsidR="00FD6984" w14:paraId="38FB3F17" w14:textId="77777777">
        <w:trPr>
          <w:trHeight w:val="544"/>
        </w:trPr>
        <w:tc>
          <w:tcPr>
            <w:tcW w:w="2761" w:type="dxa"/>
            <w:tcBorders>
              <w:top w:val="single" w:sz="4" w:space="0" w:color="auto"/>
              <w:left w:val="single" w:sz="12" w:space="0" w:color="auto"/>
              <w:bottom w:val="single" w:sz="12" w:space="0" w:color="auto"/>
            </w:tcBorders>
            <w:vAlign w:val="center"/>
          </w:tcPr>
          <w:p w14:paraId="132ACB04" w14:textId="77777777" w:rsidR="00FD6984" w:rsidRDefault="00000000">
            <w:pPr>
              <w:pStyle w:val="af9"/>
            </w:pPr>
            <w:r>
              <w:rPr>
                <w:rFonts w:hint="eastAsia"/>
              </w:rPr>
              <w:t>清洁能源类</w:t>
            </w:r>
          </w:p>
        </w:tc>
        <w:tc>
          <w:tcPr>
            <w:tcW w:w="3731" w:type="dxa"/>
            <w:tcBorders>
              <w:top w:val="single" w:sz="4" w:space="0" w:color="auto"/>
              <w:bottom w:val="single" w:sz="12" w:space="0" w:color="auto"/>
            </w:tcBorders>
            <w:vAlign w:val="center"/>
          </w:tcPr>
          <w:p w14:paraId="6BBB1D9C" w14:textId="77777777" w:rsidR="00FD6984" w:rsidRDefault="00000000">
            <w:pPr>
              <w:pStyle w:val="af9"/>
            </w:pPr>
            <w:r>
              <w:rPr>
                <w:rFonts w:hint="eastAsia"/>
              </w:rPr>
              <w:t>氢能、太阳能等</w:t>
            </w:r>
          </w:p>
        </w:tc>
        <w:tc>
          <w:tcPr>
            <w:tcW w:w="3034" w:type="dxa"/>
            <w:tcBorders>
              <w:top w:val="single" w:sz="4" w:space="0" w:color="auto"/>
              <w:bottom w:val="single" w:sz="12" w:space="0" w:color="auto"/>
              <w:right w:val="single" w:sz="12" w:space="0" w:color="auto"/>
            </w:tcBorders>
            <w:vAlign w:val="center"/>
          </w:tcPr>
          <w:p w14:paraId="046BDC9E" w14:textId="77777777" w:rsidR="00FD6984" w:rsidRDefault="00000000">
            <w:pPr>
              <w:pStyle w:val="af9"/>
            </w:pPr>
            <w:r>
              <w:rPr>
                <w:rFonts w:hint="eastAsia"/>
              </w:rPr>
              <w:t>按</w:t>
            </w:r>
            <w:r>
              <w:rPr>
                <w:rFonts w:hint="eastAsia"/>
              </w:rPr>
              <w:t>7.5</w:t>
            </w:r>
            <w:r>
              <w:rPr>
                <w:rFonts w:hint="eastAsia"/>
              </w:rPr>
              <w:t>节的公式计算，其中二氧化碳排放因子为零。</w:t>
            </w:r>
          </w:p>
        </w:tc>
      </w:tr>
    </w:tbl>
    <w:p w14:paraId="19B016D8" w14:textId="77777777" w:rsidR="00FD6984" w:rsidRDefault="00FD6984"/>
    <w:p w14:paraId="41368998" w14:textId="77777777" w:rsidR="00FD6984" w:rsidRDefault="00FD6984">
      <w:pPr>
        <w:ind w:firstLineChars="200" w:firstLine="480"/>
        <w:sectPr w:rsidR="00FD6984">
          <w:footerReference w:type="default" r:id="rId20"/>
          <w:pgSz w:w="11906" w:h="16838"/>
          <w:pgMar w:top="1440" w:right="1800" w:bottom="1440" w:left="1800" w:header="851" w:footer="992" w:gutter="0"/>
          <w:pgNumType w:start="1"/>
          <w:cols w:space="425"/>
          <w:docGrid w:type="lines" w:linePitch="312"/>
        </w:sectPr>
      </w:pPr>
    </w:p>
    <w:p w14:paraId="64496DB3" w14:textId="0EA8FF2D" w:rsidR="00FD6984" w:rsidRDefault="00000000">
      <w:pPr>
        <w:pStyle w:val="a3"/>
      </w:pPr>
      <w:r>
        <w:rPr>
          <w:rFonts w:hint="eastAsia"/>
        </w:rPr>
        <w:lastRenderedPageBreak/>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CD3467">
        <w:rPr>
          <w:noProof/>
        </w:rPr>
        <w:t>9</w:t>
      </w:r>
      <w:r>
        <w:fldChar w:fldCharType="end"/>
      </w:r>
      <w:r>
        <w:t xml:space="preserve"> </w:t>
      </w:r>
      <w:r>
        <w:rPr>
          <w:rFonts w:hint="eastAsia"/>
        </w:rPr>
        <w:t>高速公路运营期</w:t>
      </w:r>
      <w:proofErr w:type="gramStart"/>
      <w:r>
        <w:rPr>
          <w:rFonts w:hint="eastAsia"/>
        </w:rPr>
        <w:t>移动源各车型</w:t>
      </w:r>
      <w:proofErr w:type="gramEnd"/>
      <w:r>
        <w:rPr>
          <w:rFonts w:hint="eastAsia"/>
        </w:rPr>
        <w:t>碳排放计算公式汇总</w:t>
      </w:r>
    </w:p>
    <w:tbl>
      <w:tblPr>
        <w:tblStyle w:val="ae"/>
        <w:tblW w:w="0" w:type="auto"/>
        <w:tblLook w:val="04A0" w:firstRow="1" w:lastRow="0" w:firstColumn="1" w:lastColumn="0" w:noHBand="0" w:noVBand="1"/>
      </w:tblPr>
      <w:tblGrid>
        <w:gridCol w:w="3256"/>
        <w:gridCol w:w="3118"/>
        <w:gridCol w:w="7574"/>
      </w:tblGrid>
      <w:tr w:rsidR="00FD6984" w14:paraId="5DC95973" w14:textId="77777777">
        <w:trPr>
          <w:tblHeader/>
        </w:trPr>
        <w:tc>
          <w:tcPr>
            <w:tcW w:w="3256" w:type="dxa"/>
            <w:vAlign w:val="center"/>
          </w:tcPr>
          <w:p w14:paraId="700251ED" w14:textId="77777777" w:rsidR="00FD6984" w:rsidRDefault="00000000">
            <w:pPr>
              <w:spacing w:line="240" w:lineRule="auto"/>
              <w:jc w:val="center"/>
              <w:rPr>
                <w:b/>
                <w:bCs/>
                <w:kern w:val="0"/>
                <w:szCs w:val="20"/>
              </w:rPr>
            </w:pPr>
            <w:r>
              <w:rPr>
                <w:rFonts w:hint="eastAsia"/>
                <w:b/>
                <w:bCs/>
                <w:kern w:val="0"/>
                <w:szCs w:val="20"/>
              </w:rPr>
              <w:t>类别</w:t>
            </w:r>
          </w:p>
        </w:tc>
        <w:tc>
          <w:tcPr>
            <w:tcW w:w="3118" w:type="dxa"/>
            <w:vAlign w:val="center"/>
          </w:tcPr>
          <w:p w14:paraId="240DF280" w14:textId="77777777" w:rsidR="00FD6984" w:rsidRDefault="00000000">
            <w:pPr>
              <w:pStyle w:val="af4"/>
              <w:spacing w:line="240" w:lineRule="auto"/>
              <w:ind w:firstLineChars="0" w:firstLine="0"/>
              <w:jc w:val="center"/>
              <w:rPr>
                <w:b/>
                <w:bCs/>
                <w:kern w:val="0"/>
                <w:szCs w:val="20"/>
              </w:rPr>
            </w:pPr>
            <w:r>
              <w:rPr>
                <w:rFonts w:hint="eastAsia"/>
                <w:b/>
                <w:bCs/>
                <w:kern w:val="0"/>
                <w:szCs w:val="20"/>
              </w:rPr>
              <w:t>计算公式</w:t>
            </w:r>
          </w:p>
        </w:tc>
        <w:tc>
          <w:tcPr>
            <w:tcW w:w="7574" w:type="dxa"/>
            <w:vAlign w:val="center"/>
          </w:tcPr>
          <w:p w14:paraId="461CE6A6" w14:textId="77777777" w:rsidR="00FD6984" w:rsidRDefault="00000000">
            <w:pPr>
              <w:spacing w:line="240" w:lineRule="auto"/>
              <w:jc w:val="center"/>
              <w:rPr>
                <w:rFonts w:cs="Times New Roman"/>
                <w:b/>
                <w:bCs/>
                <w:kern w:val="0"/>
                <w:szCs w:val="20"/>
              </w:rPr>
            </w:pPr>
            <w:r>
              <w:rPr>
                <w:rFonts w:cs="Times New Roman" w:hint="eastAsia"/>
                <w:b/>
                <w:bCs/>
                <w:kern w:val="0"/>
                <w:szCs w:val="20"/>
              </w:rPr>
              <w:t>参数含义及单位</w:t>
            </w:r>
          </w:p>
        </w:tc>
      </w:tr>
      <w:tr w:rsidR="00FD6984" w14:paraId="69BE2735" w14:textId="77777777">
        <w:trPr>
          <w:trHeight w:val="870"/>
        </w:trPr>
        <w:tc>
          <w:tcPr>
            <w:tcW w:w="3256" w:type="dxa"/>
            <w:vMerge w:val="restart"/>
            <w:vAlign w:val="center"/>
          </w:tcPr>
          <w:p w14:paraId="1079873E" w14:textId="77777777" w:rsidR="00FD6984" w:rsidRDefault="00000000">
            <w:pPr>
              <w:spacing w:line="240" w:lineRule="auto"/>
              <w:jc w:val="center"/>
              <w:rPr>
                <w:kern w:val="0"/>
                <w:szCs w:val="20"/>
              </w:rPr>
            </w:pPr>
            <w:r>
              <w:rPr>
                <w:rFonts w:hint="eastAsia"/>
                <w:kern w:val="0"/>
                <w:szCs w:val="20"/>
              </w:rPr>
              <w:t>7.</w:t>
            </w:r>
            <w:r>
              <w:rPr>
                <w:kern w:val="0"/>
                <w:szCs w:val="20"/>
              </w:rPr>
              <w:t>4</w:t>
            </w:r>
            <w:r>
              <w:rPr>
                <w:rFonts w:hint="eastAsia"/>
                <w:kern w:val="0"/>
                <w:szCs w:val="20"/>
              </w:rPr>
              <w:tab/>
            </w:r>
            <w:r>
              <w:rPr>
                <w:rFonts w:hint="eastAsia"/>
                <w:kern w:val="0"/>
                <w:szCs w:val="20"/>
              </w:rPr>
              <w:t>单一燃料车型碳排放</w:t>
            </w:r>
          </w:p>
        </w:tc>
        <w:tc>
          <w:tcPr>
            <w:tcW w:w="3118" w:type="dxa"/>
            <w:vAlign w:val="center"/>
          </w:tcPr>
          <w:p w14:paraId="21460FAC" w14:textId="77777777" w:rsidR="00FD6984" w:rsidRDefault="00000000">
            <w:pPr>
              <w:spacing w:line="240" w:lineRule="auto"/>
              <w:jc w:val="center"/>
              <w:rPr>
                <w:kern w:val="0"/>
                <w:szCs w:val="20"/>
              </w:rPr>
            </w:pPr>
            <m:oMathPara>
              <m:oMath>
                <m:sSub>
                  <m:sSubPr>
                    <m:ctrlPr>
                      <w:rPr>
                        <w:rFonts w:ascii="Cambria Math" w:hAnsi="Cambria Math"/>
                        <w:i/>
                      </w:rPr>
                    </m:ctrlPr>
                  </m:sSubPr>
                  <m:e>
                    <m:r>
                      <w:rPr>
                        <w:rFonts w:ascii="Cambria Math" w:hAnsi="Cambria Math"/>
                      </w:rPr>
                      <m:t>E</m:t>
                    </m:r>
                  </m:e>
                  <m:sub>
                    <m:r>
                      <w:rPr>
                        <w:rFonts w:ascii="Cambria Math" w:hAnsi="Cambria Math"/>
                      </w:rPr>
                      <m:t>bu-</m:t>
                    </m:r>
                    <m:sSub>
                      <m:sSubPr>
                        <m:ctrlPr>
                          <w:rPr>
                            <w:rFonts w:ascii="Cambria Math" w:hAnsi="Cambria Math"/>
                            <w:i/>
                          </w:rPr>
                        </m:ctrlPr>
                      </m:sSubPr>
                      <m:e>
                        <m:r>
                          <w:rPr>
                            <w:rFonts w:ascii="Cambria Math" w:hAnsi="Cambria Math" w:hint="eastAsia"/>
                          </w:rPr>
                          <m:t>CO</m:t>
                        </m:r>
                      </m:e>
                      <m:sub>
                        <m:r>
                          <w:rPr>
                            <w:rFonts w:ascii="Cambria Math" w:hAnsi="Cambria Math"/>
                          </w:rPr>
                          <m:t>2</m:t>
                        </m:r>
                      </m:sub>
                    </m:sSub>
                    <m:r>
                      <w:rPr>
                        <w:rFonts w:ascii="Cambria Math" w:hAnsi="Cambria Math"/>
                      </w:rPr>
                      <m:t>,</m:t>
                    </m:r>
                    <m:r>
                      <w:rPr>
                        <w:rFonts w:ascii="Cambria Math" w:hAnsi="Cambria Math" w:hint="eastAsia"/>
                      </w:rPr>
                      <m:t>i</m:t>
                    </m:r>
                    <m:r>
                      <w:rPr>
                        <w:rFonts w:ascii="Cambria Math" w:hAnsi="Cambria Math"/>
                      </w:rPr>
                      <m:t>,j,r</m:t>
                    </m:r>
                  </m:sub>
                </m:sSub>
                <m:r>
                  <w:rPr>
                    <w:rFonts w:ascii="Cambria Math" w:hAnsi="Cambria Math"/>
                  </w:rPr>
                  <m:t>=</m:t>
                </m:r>
                <m:sSub>
                  <m:sSubPr>
                    <m:ctrlPr>
                      <w:rPr>
                        <w:rFonts w:ascii="Cambria Math" w:hAnsi="Cambria Math"/>
                        <w:i/>
                      </w:rPr>
                    </m:ctrlPr>
                  </m:sSubPr>
                  <m:e>
                    <m:r>
                      <w:rPr>
                        <w:rFonts w:ascii="Cambria Math" w:hAnsi="Cambria Math"/>
                      </w:rPr>
                      <m:t>AD</m:t>
                    </m:r>
                  </m:e>
                  <m:sub>
                    <m:r>
                      <w:rPr>
                        <w:rFonts w:ascii="Cambria Math" w:hAnsi="Cambria Math"/>
                      </w:rPr>
                      <m:t>bu-</m:t>
                    </m:r>
                    <m:sSub>
                      <m:sSubPr>
                        <m:ctrlPr>
                          <w:rPr>
                            <w:rFonts w:ascii="Cambria Math" w:hAnsi="Cambria Math"/>
                            <w:i/>
                          </w:rPr>
                        </m:ctrlPr>
                      </m:sSubPr>
                      <m:e>
                        <m:r>
                          <w:rPr>
                            <w:rFonts w:ascii="Cambria Math" w:hAnsi="Cambria Math" w:hint="eastAsia"/>
                          </w:rPr>
                          <m:t>CO</m:t>
                        </m:r>
                      </m:e>
                      <m:sub>
                        <m:r>
                          <w:rPr>
                            <w:rFonts w:ascii="Cambria Math" w:hAnsi="Cambria Math"/>
                          </w:rPr>
                          <m:t>2</m:t>
                        </m:r>
                      </m:sub>
                    </m:sSub>
                    <m:r>
                      <w:rPr>
                        <w:rFonts w:ascii="Cambria Math" w:hAnsi="Cambria Math"/>
                      </w:rPr>
                      <m:t>,i,</m:t>
                    </m:r>
                    <m:r>
                      <w:rPr>
                        <w:rFonts w:ascii="Cambria Math" w:hAnsi="Cambria Math" w:hint="eastAsia"/>
                      </w:rPr>
                      <m:t>j</m:t>
                    </m:r>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hint="eastAsia"/>
                      </w:rPr>
                      <m:t>j</m:t>
                    </m:r>
                  </m:sub>
                </m:sSub>
              </m:oMath>
            </m:oMathPara>
          </w:p>
        </w:tc>
        <w:tc>
          <w:tcPr>
            <w:tcW w:w="7574" w:type="dxa"/>
            <w:vAlign w:val="center"/>
          </w:tcPr>
          <w:p w14:paraId="2FEA03D0" w14:textId="77777777" w:rsidR="00FD6984" w:rsidRDefault="00000000">
            <w:pPr>
              <w:jc w:val="left"/>
            </w:pPr>
            <m:oMath>
              <m:sSub>
                <m:sSubPr>
                  <m:ctrlPr>
                    <w:rPr>
                      <w:rFonts w:ascii="Cambria Math" w:hAnsi="Cambria Math"/>
                      <w:i/>
                    </w:rPr>
                  </m:ctrlPr>
                </m:sSubPr>
                <m:e>
                  <m:r>
                    <w:rPr>
                      <w:rFonts w:ascii="Cambria Math" w:hAnsi="Cambria Math"/>
                    </w:rPr>
                    <m:t>AD</m:t>
                  </m:r>
                </m:e>
                <m:sub>
                  <m:r>
                    <w:rPr>
                      <w:rFonts w:ascii="Cambria Math" w:hAnsi="Cambria Math"/>
                    </w:rPr>
                    <m:t>bu-</m:t>
                  </m:r>
                  <m:sSub>
                    <m:sSubPr>
                      <m:ctrlPr>
                        <w:rPr>
                          <w:rFonts w:ascii="Cambria Math" w:hAnsi="Cambria Math"/>
                          <w:i/>
                        </w:rPr>
                      </m:ctrlPr>
                    </m:sSubPr>
                    <m:e>
                      <m:r>
                        <w:rPr>
                          <w:rFonts w:ascii="Cambria Math" w:hAnsi="Cambria Math" w:hint="eastAsia"/>
                        </w:rPr>
                        <m:t>CO</m:t>
                      </m:r>
                    </m:e>
                    <m:sub>
                      <m:r>
                        <w:rPr>
                          <w:rFonts w:ascii="Cambria Math" w:hAnsi="Cambria Math"/>
                        </w:rPr>
                        <m:t>2</m:t>
                      </m:r>
                    </m:sub>
                  </m:sSub>
                  <m:r>
                    <w:rPr>
                      <w:rFonts w:ascii="Cambria Math" w:hAnsi="Cambria Math"/>
                    </w:rPr>
                    <m:t>,i,</m:t>
                  </m:r>
                  <m:r>
                    <w:rPr>
                      <w:rFonts w:ascii="Cambria Math" w:hAnsi="Cambria Math" w:hint="eastAsia"/>
                    </w:rPr>
                    <m:t>j</m:t>
                  </m:r>
                  <m:r>
                    <w:rPr>
                      <w:rFonts w:ascii="Cambria Math" w:hAnsi="Cambria Math"/>
                    </w:rPr>
                    <m:t>,r</m:t>
                  </m:r>
                </m:sub>
              </m:sSub>
            </m:oMath>
            <w:r>
              <w:t>——</w:t>
            </w:r>
            <w:r>
              <w:rPr>
                <w:rFonts w:hint="eastAsia"/>
              </w:rPr>
              <w:t>第</w:t>
            </w:r>
            <w:proofErr w:type="spellStart"/>
            <w:r>
              <w:rPr>
                <w:i/>
                <w:iCs/>
              </w:rPr>
              <w:t>i</w:t>
            </w:r>
            <w:proofErr w:type="spellEnd"/>
            <w:r>
              <w:rPr>
                <w:rFonts w:hint="eastAsia"/>
              </w:rPr>
              <w:t>类</w:t>
            </w:r>
            <w:r>
              <w:t>车型使用</w:t>
            </w:r>
            <w:r>
              <w:rPr>
                <w:rFonts w:hint="eastAsia"/>
              </w:rPr>
              <w:t>第</w:t>
            </w:r>
            <w:r>
              <w:rPr>
                <w:i/>
                <w:iCs/>
              </w:rPr>
              <w:t>j</w:t>
            </w:r>
            <w:r>
              <w:rPr>
                <w:rFonts w:hint="eastAsia"/>
              </w:rPr>
              <w:t>种</w:t>
            </w:r>
            <w:r>
              <w:t>化石燃料行驶在区间</w:t>
            </w:r>
            <w:r>
              <w:rPr>
                <w:i/>
                <w:iCs/>
              </w:rPr>
              <w:t>r</w:t>
            </w:r>
            <w:r>
              <w:t>的</w:t>
            </w:r>
            <w:r>
              <w:rPr>
                <w:rFonts w:hint="eastAsia"/>
              </w:rPr>
              <w:t>活动数据</w:t>
            </w:r>
            <w:r>
              <w:t>，单位为吉焦（</w:t>
            </w:r>
            <w:r>
              <w:t>GJ</w:t>
            </w:r>
            <w:r>
              <w:t>）；</w:t>
            </w:r>
          </w:p>
          <w:p w14:paraId="725E95EF" w14:textId="77777777" w:rsidR="00FD6984" w:rsidRDefault="00000000">
            <w:pPr>
              <w:spacing w:line="240" w:lineRule="auto"/>
              <w:jc w:val="left"/>
              <w:rPr>
                <w:kern w:val="0"/>
                <w:szCs w:val="20"/>
              </w:rPr>
            </w:pPr>
            <m:oMath>
              <m:sSub>
                <m:sSubPr>
                  <m:ctrlPr>
                    <w:rPr>
                      <w:rFonts w:ascii="Cambria Math" w:hAnsi="Cambria Math"/>
                      <w:i/>
                    </w:rPr>
                  </m:ctrlPr>
                </m:sSubPr>
                <m:e>
                  <m:r>
                    <w:rPr>
                      <w:rFonts w:ascii="Cambria Math" w:hAnsi="Cambria Math"/>
                    </w:rPr>
                    <m:t>EF</m:t>
                  </m:r>
                </m:e>
                <m:sub>
                  <m:r>
                    <w:rPr>
                      <w:rFonts w:ascii="Cambria Math" w:hAnsi="Cambria Math"/>
                    </w:rPr>
                    <m:t>j</m:t>
                  </m:r>
                </m:sub>
              </m:sSub>
            </m:oMath>
            <w:r>
              <w:t>—</w:t>
            </w:r>
            <w:r>
              <w:rPr>
                <w:rFonts w:hint="eastAsia"/>
              </w:rPr>
              <w:t>第</w:t>
            </w:r>
            <w:r>
              <w:rPr>
                <w:i/>
                <w:iCs/>
              </w:rPr>
              <w:t>j</w:t>
            </w:r>
            <w:r>
              <w:rPr>
                <w:rFonts w:hint="eastAsia"/>
              </w:rPr>
              <w:t>种</w:t>
            </w:r>
            <w:r>
              <w:t>化石燃料的二氧化碳排放因子，单位</w:t>
            </w:r>
            <w:proofErr w:type="gramStart"/>
            <w:r>
              <w:t>为吨二氧化碳每吉焦</w:t>
            </w:r>
            <w:proofErr w:type="gramEnd"/>
            <w:r>
              <w:t>（</w:t>
            </w:r>
            <w:r>
              <w:t>tCO</w:t>
            </w:r>
            <w:r>
              <w:rPr>
                <w:vertAlign w:val="subscript"/>
              </w:rPr>
              <w:t>2</w:t>
            </w:r>
            <w:r>
              <w:t>/GJ</w:t>
            </w:r>
            <w:r>
              <w:t>）。</w:t>
            </w:r>
          </w:p>
        </w:tc>
      </w:tr>
      <w:tr w:rsidR="00FD6984" w14:paraId="7383BB01" w14:textId="77777777">
        <w:trPr>
          <w:trHeight w:val="996"/>
        </w:trPr>
        <w:tc>
          <w:tcPr>
            <w:tcW w:w="3256" w:type="dxa"/>
            <w:vMerge/>
            <w:vAlign w:val="center"/>
          </w:tcPr>
          <w:p w14:paraId="3EF30993" w14:textId="77777777" w:rsidR="00FD6984" w:rsidRDefault="00FD6984">
            <w:pPr>
              <w:spacing w:line="240" w:lineRule="auto"/>
              <w:jc w:val="center"/>
              <w:rPr>
                <w:kern w:val="0"/>
                <w:szCs w:val="20"/>
              </w:rPr>
            </w:pPr>
          </w:p>
        </w:tc>
        <w:tc>
          <w:tcPr>
            <w:tcW w:w="3118" w:type="dxa"/>
            <w:vAlign w:val="center"/>
          </w:tcPr>
          <w:p w14:paraId="0CC326C5" w14:textId="77777777" w:rsidR="00FD6984" w:rsidRDefault="00000000">
            <w:pPr>
              <w:spacing w:line="240" w:lineRule="auto"/>
              <w:jc w:val="center"/>
              <w:rPr>
                <w:kern w:val="0"/>
                <w:szCs w:val="20"/>
              </w:rPr>
            </w:pPr>
            <m:oMathPara>
              <m:oMath>
                <m:sSub>
                  <m:sSubPr>
                    <m:ctrlPr>
                      <w:rPr>
                        <w:rFonts w:ascii="Cambria Math" w:hAnsi="Cambria Math"/>
                        <w:i/>
                      </w:rPr>
                    </m:ctrlPr>
                  </m:sSubPr>
                  <m:e>
                    <m:r>
                      <w:rPr>
                        <w:rFonts w:ascii="Cambria Math" w:hAnsi="Cambria Math"/>
                      </w:rPr>
                      <m:t>AD</m:t>
                    </m:r>
                  </m:e>
                  <m:sub>
                    <m:r>
                      <w:rPr>
                        <w:rFonts w:ascii="Cambria Math" w:hAnsi="Cambria Math"/>
                      </w:rPr>
                      <m:t>bu-</m:t>
                    </m:r>
                    <m:sSub>
                      <m:sSubPr>
                        <m:ctrlPr>
                          <w:rPr>
                            <w:rFonts w:ascii="Cambria Math" w:hAnsi="Cambria Math"/>
                            <w:i/>
                          </w:rPr>
                        </m:ctrlPr>
                      </m:sSubPr>
                      <m:e>
                        <m:r>
                          <w:rPr>
                            <w:rFonts w:ascii="Cambria Math" w:hAnsi="Cambria Math" w:hint="eastAsia"/>
                          </w:rPr>
                          <m:t>CO</m:t>
                        </m:r>
                      </m:e>
                      <m:sub>
                        <m:r>
                          <w:rPr>
                            <w:rFonts w:ascii="Cambria Math" w:hAnsi="Cambria Math"/>
                          </w:rPr>
                          <m:t>2</m:t>
                        </m:r>
                      </m:sub>
                    </m:sSub>
                    <m:r>
                      <w:rPr>
                        <w:rFonts w:ascii="Cambria Math" w:hAnsi="Cambria Math"/>
                      </w:rPr>
                      <m:t>,i,</m:t>
                    </m:r>
                    <m:r>
                      <w:rPr>
                        <w:rFonts w:ascii="Cambria Math" w:hAnsi="Cambria Math" w:hint="eastAsia"/>
                      </w:rPr>
                      <m:t>j</m:t>
                    </m:r>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hint="eastAsia"/>
                      </w:rPr>
                      <m:t>NCV</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hint="eastAsia"/>
                      </w:rPr>
                      <m:t>FC</m:t>
                    </m:r>
                  </m:e>
                  <m:sub>
                    <m:r>
                      <w:rPr>
                        <w:rFonts w:ascii="Cambria Math" w:hAnsi="Cambria Math"/>
                      </w:rPr>
                      <m:t>bu-</m:t>
                    </m:r>
                    <m:sSub>
                      <m:sSubPr>
                        <m:ctrlPr>
                          <w:rPr>
                            <w:rFonts w:ascii="Cambria Math" w:hAnsi="Cambria Math"/>
                            <w:i/>
                          </w:rPr>
                        </m:ctrlPr>
                      </m:sSubPr>
                      <m:e>
                        <m:r>
                          <w:rPr>
                            <w:rFonts w:ascii="Cambria Math" w:hAnsi="Cambria Math" w:hint="eastAsia"/>
                          </w:rPr>
                          <m:t>CO</m:t>
                        </m:r>
                      </m:e>
                      <m:sub>
                        <m:r>
                          <w:rPr>
                            <w:rFonts w:ascii="Cambria Math" w:hAnsi="Cambria Math"/>
                          </w:rPr>
                          <m:t>2</m:t>
                        </m:r>
                      </m:sub>
                    </m:sSub>
                    <m:r>
                      <w:rPr>
                        <w:rFonts w:ascii="Cambria Math" w:hAnsi="Cambria Math"/>
                      </w:rPr>
                      <m:t>,i,</m:t>
                    </m:r>
                    <m:r>
                      <w:rPr>
                        <w:rFonts w:ascii="Cambria Math" w:hAnsi="Cambria Math" w:hint="eastAsia"/>
                      </w:rPr>
                      <m:t>j</m:t>
                    </m:r>
                    <m:r>
                      <w:rPr>
                        <w:rFonts w:ascii="Cambria Math" w:hAnsi="Cambria Math"/>
                      </w:rPr>
                      <m:t>,r</m:t>
                    </m:r>
                  </m:sub>
                </m:sSub>
              </m:oMath>
            </m:oMathPara>
          </w:p>
        </w:tc>
        <w:tc>
          <w:tcPr>
            <w:tcW w:w="7574" w:type="dxa"/>
            <w:vAlign w:val="center"/>
          </w:tcPr>
          <w:p w14:paraId="0599EFA1" w14:textId="77777777" w:rsidR="00FD6984" w:rsidRDefault="00000000">
            <w:pPr>
              <w:jc w:val="left"/>
            </w:pPr>
            <m:oMath>
              <m:sSub>
                <m:sSubPr>
                  <m:ctrlPr>
                    <w:rPr>
                      <w:rFonts w:ascii="Cambria Math" w:hAnsi="Cambria Math"/>
                      <w:i/>
                    </w:rPr>
                  </m:ctrlPr>
                </m:sSubPr>
                <m:e>
                  <m:r>
                    <w:rPr>
                      <w:rFonts w:ascii="Cambria Math" w:hAnsi="Cambria Math"/>
                    </w:rPr>
                    <m:t>NCV</m:t>
                  </m:r>
                </m:e>
                <m:sub>
                  <m:r>
                    <w:rPr>
                      <w:rFonts w:ascii="Cambria Math" w:hAnsi="Cambria Math"/>
                    </w:rPr>
                    <m:t>j</m:t>
                  </m:r>
                </m:sub>
              </m:sSub>
            </m:oMath>
            <w:r>
              <w:t>——</w:t>
            </w:r>
            <w:r>
              <w:rPr>
                <w:rFonts w:hint="eastAsia"/>
              </w:rPr>
              <w:t>第</w:t>
            </w:r>
            <w:r>
              <w:rPr>
                <w:i/>
                <w:iCs/>
              </w:rPr>
              <w:t>j</w:t>
            </w:r>
            <w:r>
              <w:rPr>
                <w:rFonts w:hint="eastAsia"/>
              </w:rPr>
              <w:t>种</w:t>
            </w:r>
            <w:r>
              <w:t>化石燃料的平均低位发热量，对固体或液体燃料，单位为吉焦每吨（</w:t>
            </w:r>
            <w:r>
              <w:t>GJ/t</w:t>
            </w:r>
            <w:r>
              <w:t>）</w:t>
            </w:r>
            <w:r>
              <w:t>;</w:t>
            </w:r>
            <w:r>
              <w:t>对气体燃料，单位为吉焦每万标立方米（</w:t>
            </w:r>
            <w:r>
              <w:t>GJ/10</w:t>
            </w:r>
            <w:r>
              <w:rPr>
                <w:vertAlign w:val="superscript"/>
              </w:rPr>
              <w:t>4</w:t>
            </w:r>
            <w:r>
              <w:t>Nm</w:t>
            </w:r>
            <w:r>
              <w:rPr>
                <w:vertAlign w:val="superscript"/>
              </w:rPr>
              <w:t>3</w:t>
            </w:r>
            <w:r>
              <w:t>）；</w:t>
            </w:r>
          </w:p>
          <w:p w14:paraId="298EC345" w14:textId="77777777" w:rsidR="00FD6984" w:rsidRDefault="00000000">
            <w:pPr>
              <w:jc w:val="left"/>
            </w:pPr>
            <m:oMath>
              <m:sSub>
                <m:sSubPr>
                  <m:ctrlPr>
                    <w:rPr>
                      <w:rFonts w:ascii="Cambria Math" w:hAnsi="Cambria Math"/>
                      <w:i/>
                    </w:rPr>
                  </m:ctrlPr>
                </m:sSubPr>
                <m:e>
                  <m:r>
                    <w:rPr>
                      <w:rFonts w:ascii="Cambria Math" w:hAnsi="Cambria Math" w:hint="eastAsia"/>
                    </w:rPr>
                    <m:t>FC</m:t>
                  </m:r>
                </m:e>
                <m:sub>
                  <m:r>
                    <w:rPr>
                      <w:rFonts w:ascii="Cambria Math" w:hAnsi="Cambria Math"/>
                    </w:rPr>
                    <m:t>bu-</m:t>
                  </m:r>
                  <m:sSub>
                    <m:sSubPr>
                      <m:ctrlPr>
                        <w:rPr>
                          <w:rFonts w:ascii="Cambria Math" w:hAnsi="Cambria Math"/>
                          <w:i/>
                        </w:rPr>
                      </m:ctrlPr>
                    </m:sSubPr>
                    <m:e>
                      <m:r>
                        <w:rPr>
                          <w:rFonts w:ascii="Cambria Math" w:hAnsi="Cambria Math" w:hint="eastAsia"/>
                        </w:rPr>
                        <m:t>CO</m:t>
                      </m:r>
                    </m:e>
                    <m:sub>
                      <m:r>
                        <w:rPr>
                          <w:rFonts w:ascii="Cambria Math" w:hAnsi="Cambria Math"/>
                        </w:rPr>
                        <m:t>2</m:t>
                      </m:r>
                    </m:sub>
                  </m:sSub>
                  <m:r>
                    <w:rPr>
                      <w:rFonts w:ascii="Cambria Math" w:hAnsi="Cambria Math"/>
                    </w:rPr>
                    <m:t>,i,</m:t>
                  </m:r>
                  <m:r>
                    <w:rPr>
                      <w:rFonts w:ascii="Cambria Math" w:hAnsi="Cambria Math" w:hint="eastAsia"/>
                    </w:rPr>
                    <m:t>j</m:t>
                  </m:r>
                  <m:r>
                    <w:rPr>
                      <w:rFonts w:ascii="Cambria Math" w:hAnsi="Cambria Math"/>
                    </w:rPr>
                    <m:t>,r</m:t>
                  </m:r>
                </m:sub>
              </m:sSub>
            </m:oMath>
            <w:r>
              <w:t>——</w:t>
            </w:r>
            <w:r>
              <w:t>第</w:t>
            </w:r>
            <w:proofErr w:type="spellStart"/>
            <w:r>
              <w:rPr>
                <w:i/>
                <w:iCs/>
              </w:rPr>
              <w:t>i</w:t>
            </w:r>
            <w:proofErr w:type="spellEnd"/>
            <w:r>
              <w:t>类车型使用</w:t>
            </w:r>
            <w:r>
              <w:rPr>
                <w:rFonts w:hint="eastAsia"/>
              </w:rPr>
              <w:t>第</w:t>
            </w:r>
            <w:r>
              <w:rPr>
                <w:i/>
                <w:iCs/>
              </w:rPr>
              <w:t>j</w:t>
            </w:r>
            <w:r>
              <w:rPr>
                <w:rFonts w:hint="eastAsia"/>
              </w:rPr>
              <w:t>种</w:t>
            </w:r>
            <w:r>
              <w:t>化石燃料行驶在</w:t>
            </w:r>
            <w:r>
              <w:rPr>
                <w:rFonts w:hint="eastAsia"/>
              </w:rPr>
              <w:t>区间</w:t>
            </w:r>
            <w:r>
              <w:rPr>
                <w:i/>
                <w:iCs/>
              </w:rPr>
              <w:t>r</w:t>
            </w:r>
            <w:r>
              <w:t>的</w:t>
            </w:r>
            <w:r>
              <w:rPr>
                <w:rFonts w:hint="eastAsia"/>
              </w:rPr>
              <w:t>燃料消耗</w:t>
            </w:r>
            <w:r>
              <w:t>量，对固体或液体燃料</w:t>
            </w:r>
            <w:r>
              <w:rPr>
                <w:rFonts w:hint="eastAsia"/>
              </w:rPr>
              <w:t>，</w:t>
            </w:r>
            <w:r>
              <w:t>单位为吨（</w:t>
            </w:r>
            <w:r>
              <w:t>t</w:t>
            </w:r>
            <w:r>
              <w:t>）</w:t>
            </w:r>
            <w:r>
              <w:rPr>
                <w:rFonts w:hint="eastAsia"/>
              </w:rPr>
              <w:t>；</w:t>
            </w:r>
            <w:r>
              <w:t>对气体燃料，单位</w:t>
            </w:r>
            <w:proofErr w:type="gramStart"/>
            <w:r>
              <w:t>为万标立方米</w:t>
            </w:r>
            <w:proofErr w:type="gramEnd"/>
            <w:r>
              <w:t>（</w:t>
            </w:r>
            <w:r>
              <w:t>×10</w:t>
            </w:r>
            <w:r>
              <w:rPr>
                <w:vertAlign w:val="superscript"/>
              </w:rPr>
              <w:t>4</w:t>
            </w:r>
            <w:r>
              <w:t>Nm</w:t>
            </w:r>
            <w:r>
              <w:rPr>
                <w:vertAlign w:val="superscript"/>
              </w:rPr>
              <w:t>3</w:t>
            </w:r>
            <w:r>
              <w:t>）。</w:t>
            </w:r>
          </w:p>
          <w:p w14:paraId="19A1E966" w14:textId="77777777" w:rsidR="00FD6984" w:rsidRDefault="00FD6984">
            <w:pPr>
              <w:spacing w:line="240" w:lineRule="auto"/>
              <w:jc w:val="left"/>
              <w:rPr>
                <w:rFonts w:cs="Times New Roman"/>
                <w:kern w:val="0"/>
                <w:szCs w:val="20"/>
              </w:rPr>
            </w:pPr>
          </w:p>
        </w:tc>
      </w:tr>
      <w:tr w:rsidR="00FD6984" w14:paraId="5C8B7B82" w14:textId="77777777">
        <w:trPr>
          <w:trHeight w:val="1123"/>
        </w:trPr>
        <w:tc>
          <w:tcPr>
            <w:tcW w:w="3256" w:type="dxa"/>
            <w:vMerge/>
            <w:vAlign w:val="center"/>
          </w:tcPr>
          <w:p w14:paraId="1FAA041C" w14:textId="77777777" w:rsidR="00FD6984" w:rsidRDefault="00FD6984">
            <w:pPr>
              <w:spacing w:line="240" w:lineRule="auto"/>
              <w:jc w:val="center"/>
              <w:rPr>
                <w:kern w:val="0"/>
                <w:szCs w:val="20"/>
              </w:rPr>
            </w:pPr>
          </w:p>
        </w:tc>
        <w:tc>
          <w:tcPr>
            <w:tcW w:w="3118" w:type="dxa"/>
            <w:vAlign w:val="center"/>
          </w:tcPr>
          <w:p w14:paraId="586C6BA1" w14:textId="77777777" w:rsidR="00FD6984" w:rsidRDefault="00000000">
            <w:pPr>
              <w:spacing w:line="240" w:lineRule="auto"/>
              <w:jc w:val="center"/>
              <w:rPr>
                <w:kern w:val="0"/>
                <w:szCs w:val="20"/>
              </w:rPr>
            </w:pPr>
            <m:oMathPara>
              <m:oMath>
                <m:sSub>
                  <m:sSubPr>
                    <m:ctrlPr>
                      <w:rPr>
                        <w:rFonts w:ascii="Cambria Math" w:hAnsi="Cambria Math"/>
                        <w:i/>
                      </w:rPr>
                    </m:ctrlPr>
                  </m:sSubPr>
                  <m:e>
                    <m:r>
                      <w:rPr>
                        <w:rFonts w:ascii="Cambria Math" w:hAnsi="Cambria Math" w:hint="eastAsia"/>
                      </w:rPr>
                      <m:t>FC</m:t>
                    </m:r>
                  </m:e>
                  <m:sub>
                    <m:r>
                      <w:rPr>
                        <w:rFonts w:ascii="Cambria Math" w:hAnsi="Cambria Math"/>
                      </w:rPr>
                      <m:t>bu-</m:t>
                    </m:r>
                    <m:sSub>
                      <m:sSubPr>
                        <m:ctrlPr>
                          <w:rPr>
                            <w:rFonts w:ascii="Cambria Math" w:hAnsi="Cambria Math"/>
                            <w:i/>
                          </w:rPr>
                        </m:ctrlPr>
                      </m:sSubPr>
                      <m:e>
                        <m:r>
                          <w:rPr>
                            <w:rFonts w:ascii="Cambria Math" w:hAnsi="Cambria Math" w:hint="eastAsia"/>
                          </w:rPr>
                          <m:t>CO</m:t>
                        </m:r>
                      </m:e>
                      <m:sub>
                        <m:r>
                          <w:rPr>
                            <w:rFonts w:ascii="Cambria Math" w:hAnsi="Cambria Math"/>
                          </w:rPr>
                          <m:t>2</m:t>
                        </m:r>
                      </m:sub>
                    </m:sSub>
                    <m:r>
                      <w:rPr>
                        <w:rFonts w:ascii="Cambria Math" w:hAnsi="Cambria Math"/>
                      </w:rPr>
                      <m:t>,i,</m:t>
                    </m:r>
                    <m:r>
                      <w:rPr>
                        <w:rFonts w:ascii="Cambria Math" w:hAnsi="Cambria Math" w:hint="eastAsia"/>
                      </w:rPr>
                      <m:t>j</m:t>
                    </m:r>
                    <m:r>
                      <w:rPr>
                        <w:rFonts w:ascii="Cambria Math" w:hAnsi="Cambria Math"/>
                      </w:rPr>
                      <m:t>,r</m:t>
                    </m:r>
                  </m:sub>
                </m:sSub>
                <m:r>
                  <w:rPr>
                    <w:rFonts w:ascii="Cambria Math" w:hAnsi="Cambria Math"/>
                  </w:rPr>
                  <m:t>=O</m:t>
                </m:r>
                <m:sSub>
                  <m:sSubPr>
                    <m:ctrlPr>
                      <w:rPr>
                        <w:rFonts w:ascii="Cambria Math" w:hAnsi="Cambria Math"/>
                        <w:i/>
                      </w:rPr>
                    </m:ctrlPr>
                  </m:sSubPr>
                  <m:e>
                    <m:r>
                      <w:rPr>
                        <w:rFonts w:ascii="Cambria Math" w:hAnsi="Cambria Math"/>
                      </w:rPr>
                      <m:t>C</m:t>
                    </m:r>
                  </m:e>
                  <m:sub>
                    <m:r>
                      <w:rPr>
                        <w:rFonts w:ascii="Cambria Math" w:hAnsi="Cambria Math" w:hint="eastAsia"/>
                      </w:rPr>
                      <m:t>i</m:t>
                    </m:r>
                    <m:r>
                      <w:rPr>
                        <w:rFonts w:ascii="Cambria Math" w:hAnsi="Cambria Math"/>
                      </w:rPr>
                      <m:t>,j,r</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i,j,r</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j</m:t>
                    </m:r>
                  </m:sub>
                </m:sSub>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-8</m:t>
                    </m:r>
                  </m:sup>
                </m:sSup>
              </m:oMath>
            </m:oMathPara>
          </w:p>
        </w:tc>
        <w:tc>
          <w:tcPr>
            <w:tcW w:w="7574" w:type="dxa"/>
            <w:vAlign w:val="center"/>
          </w:tcPr>
          <w:p w14:paraId="26B610C2" w14:textId="77777777" w:rsidR="00FD6984" w:rsidRDefault="00000000">
            <w:pPr>
              <w:jc w:val="left"/>
            </w:pPr>
            <m:oMath>
              <m:r>
                <w:rPr>
                  <w:rFonts w:ascii="Cambria Math" w:hAnsi="Cambria Math"/>
                </w:rPr>
                <m:t>O</m:t>
              </m:r>
              <m:sSub>
                <m:sSubPr>
                  <m:ctrlPr>
                    <w:rPr>
                      <w:rFonts w:ascii="Cambria Math" w:hAnsi="Cambria Math"/>
                      <w:i/>
                      <w:iCs/>
                    </w:rPr>
                  </m:ctrlPr>
                </m:sSubPr>
                <m:e>
                  <m:r>
                    <w:rPr>
                      <w:rFonts w:ascii="Cambria Math" w:hAnsi="Cambria Math"/>
                    </w:rPr>
                    <m:t>C</m:t>
                  </m:r>
                </m:e>
                <m:sub>
                  <m:r>
                    <w:rPr>
                      <w:rFonts w:ascii="Cambria Math" w:hAnsi="Cambria Math"/>
                    </w:rPr>
                    <m:t>i,j,r</m:t>
                  </m:r>
                </m:sub>
              </m:sSub>
            </m:oMath>
            <w:r>
              <w:t>—</w:t>
            </w:r>
            <w:r>
              <w:rPr>
                <w:szCs w:val="21"/>
              </w:rPr>
              <w:t>—</w:t>
            </w:r>
            <w:r>
              <w:t>第</w:t>
            </w:r>
            <w:proofErr w:type="spellStart"/>
            <w:r>
              <w:rPr>
                <w:i/>
                <w:iCs/>
              </w:rPr>
              <w:t>i</w:t>
            </w:r>
            <w:proofErr w:type="spellEnd"/>
            <w:r>
              <w:t>类车型使用</w:t>
            </w:r>
            <w:r>
              <w:rPr>
                <w:rFonts w:hint="eastAsia"/>
              </w:rPr>
              <w:t>第</w:t>
            </w:r>
            <w:r>
              <w:rPr>
                <w:i/>
                <w:iCs/>
              </w:rPr>
              <w:t>j</w:t>
            </w:r>
            <w:r>
              <w:rPr>
                <w:rFonts w:hint="eastAsia"/>
              </w:rPr>
              <w:t>种</w:t>
            </w:r>
            <w:r>
              <w:t>化石燃料行驶在</w:t>
            </w:r>
            <w:r>
              <w:rPr>
                <w:rFonts w:hint="eastAsia"/>
              </w:rPr>
              <w:t>区间</w:t>
            </w:r>
            <w:r>
              <w:rPr>
                <w:i/>
                <w:iCs/>
              </w:rPr>
              <w:t>r</w:t>
            </w:r>
            <w:r>
              <w:t>的单车</w:t>
            </w:r>
            <w:proofErr w:type="gramStart"/>
            <w:r>
              <w:t>百公里</w:t>
            </w:r>
            <w:proofErr w:type="gramEnd"/>
            <w:r>
              <w:t>能耗值，单位为升每百公里（</w:t>
            </w:r>
            <w:r>
              <w:t>L/100km</w:t>
            </w:r>
            <w:r>
              <w:t>）；</w:t>
            </w:r>
          </w:p>
          <w:p w14:paraId="04F249DA" w14:textId="77777777" w:rsidR="00FD6984" w:rsidRDefault="00000000">
            <w:pPr>
              <w:jc w:val="left"/>
            </w:pPr>
            <m:oMath>
              <m:sSub>
                <m:sSubPr>
                  <m:ctrlPr>
                    <w:rPr>
                      <w:rFonts w:ascii="Cambria Math" w:hAnsi="Cambria Math"/>
                      <w:i/>
                      <w:iCs/>
                    </w:rPr>
                  </m:ctrlPr>
                </m:sSubPr>
                <m:e>
                  <m:r>
                    <w:rPr>
                      <w:rFonts w:ascii="Cambria Math" w:hAnsi="Cambria Math"/>
                    </w:rPr>
                    <m:t>D</m:t>
                  </m:r>
                </m:e>
                <m:sub>
                  <m:r>
                    <w:rPr>
                      <w:rFonts w:ascii="Cambria Math" w:hAnsi="Cambria Math"/>
                    </w:rPr>
                    <m:t>r</m:t>
                  </m:r>
                </m:sub>
              </m:sSub>
            </m:oMath>
            <w:r>
              <w:t>—</w:t>
            </w:r>
            <w:r>
              <w:rPr>
                <w:szCs w:val="21"/>
              </w:rPr>
              <w:t>—</w:t>
            </w:r>
            <w:r>
              <w:t>区间车辆</w:t>
            </w:r>
            <w:r>
              <w:rPr>
                <w:rFonts w:hint="eastAsia"/>
              </w:rPr>
              <w:t>行驶</w:t>
            </w:r>
            <w:r>
              <w:t>里程，单位为千米（</w:t>
            </w:r>
            <w:r>
              <w:t>km</w:t>
            </w:r>
            <w:r>
              <w:t>）；</w:t>
            </w:r>
          </w:p>
          <w:p w14:paraId="08F8636B" w14:textId="77777777" w:rsidR="00FD6984" w:rsidRDefault="00000000">
            <w:pPr>
              <w:jc w:val="left"/>
              <w:rPr>
                <w:color w:val="FF0000"/>
              </w:rPr>
            </w:pPr>
            <m:oMath>
              <m:sSub>
                <m:sSubPr>
                  <m:ctrlPr>
                    <w:rPr>
                      <w:rFonts w:ascii="Cambria Math" w:hAnsi="Cambria Math"/>
                      <w:i/>
                      <w:iCs/>
                    </w:rPr>
                  </m:ctrlPr>
                </m:sSubPr>
                <m:e>
                  <m:r>
                    <w:rPr>
                      <w:rFonts w:ascii="Cambria Math" w:hAnsi="Cambria Math"/>
                    </w:rPr>
                    <m:t>V</m:t>
                  </m:r>
                </m:e>
                <m:sub>
                  <m:r>
                    <w:rPr>
                      <w:rFonts w:ascii="Cambria Math" w:hAnsi="Cambria Math"/>
                    </w:rPr>
                    <m:t>i,j,r</m:t>
                  </m:r>
                </m:sub>
              </m:sSub>
            </m:oMath>
            <w:r>
              <w:t>—</w:t>
            </w:r>
            <w:r>
              <w:rPr>
                <w:szCs w:val="21"/>
              </w:rPr>
              <w:t>—</w:t>
            </w:r>
            <w:r>
              <w:t>使用</w:t>
            </w:r>
            <w:r>
              <w:rPr>
                <w:rFonts w:hint="eastAsia"/>
              </w:rPr>
              <w:t>第</w:t>
            </w:r>
            <w:r>
              <w:rPr>
                <w:i/>
                <w:iCs/>
              </w:rPr>
              <w:t>j</w:t>
            </w:r>
            <w:r>
              <w:rPr>
                <w:rFonts w:hint="eastAsia"/>
              </w:rPr>
              <w:t>种</w:t>
            </w:r>
            <w:r>
              <w:t>化石燃料通过区间</w:t>
            </w:r>
            <w:r>
              <w:rPr>
                <w:i/>
                <w:iCs/>
              </w:rPr>
              <w:t>r</w:t>
            </w:r>
            <w:r>
              <w:t>的第</w:t>
            </w:r>
            <w:proofErr w:type="spellStart"/>
            <w:r>
              <w:rPr>
                <w:i/>
                <w:iCs/>
              </w:rPr>
              <w:t>i</w:t>
            </w:r>
            <w:proofErr w:type="spellEnd"/>
            <w:r>
              <w:t>类车型</w:t>
            </w:r>
            <w:r>
              <w:rPr>
                <w:rFonts w:hint="eastAsia"/>
              </w:rPr>
              <w:t>的</w:t>
            </w:r>
            <w:r>
              <w:t>数量，单位为辆；</w:t>
            </w:r>
          </w:p>
          <w:p w14:paraId="4354989A" w14:textId="77777777" w:rsidR="00FD6984" w:rsidRDefault="00000000">
            <w:pPr>
              <w:jc w:val="left"/>
            </w:pPr>
            <m:oMath>
              <m:sSub>
                <m:sSubPr>
                  <m:ctrlPr>
                    <w:rPr>
                      <w:rFonts w:ascii="Cambria Math" w:hAnsi="Cambria Math"/>
                      <w:i/>
                      <w:szCs w:val="21"/>
                    </w:rPr>
                  </m:ctrlPr>
                </m:sSubPr>
                <m:e>
                  <m:r>
                    <w:rPr>
                      <w:rFonts w:ascii="Cambria Math" w:hAnsi="Cambria Math"/>
                      <w:szCs w:val="21"/>
                    </w:rPr>
                    <m:t>C</m:t>
                  </m:r>
                </m:e>
                <m:sub>
                  <m:r>
                    <w:rPr>
                      <w:rFonts w:ascii="Cambria Math" w:hAnsi="Cambria Math"/>
                      <w:szCs w:val="21"/>
                    </w:rPr>
                    <m:t>j</m:t>
                  </m:r>
                </m:sub>
              </m:sSub>
            </m:oMath>
            <w:r>
              <w:rPr>
                <w:szCs w:val="21"/>
              </w:rPr>
              <w:t>——</w:t>
            </w:r>
            <w:r>
              <w:rPr>
                <w:rFonts w:hint="eastAsia"/>
              </w:rPr>
              <w:t>第</w:t>
            </w:r>
            <w:r>
              <w:rPr>
                <w:i/>
                <w:iCs/>
              </w:rPr>
              <w:t>j</w:t>
            </w:r>
            <w:r>
              <w:rPr>
                <w:rFonts w:hint="eastAsia"/>
              </w:rPr>
              <w:t>种</w:t>
            </w:r>
            <w:r>
              <w:t>化石燃料的密度，单位为千克每立方米（</w:t>
            </w:r>
            <w:r>
              <w:t>kg/m</w:t>
            </w:r>
            <w:r>
              <w:rPr>
                <w:vertAlign w:val="superscript"/>
              </w:rPr>
              <w:t>3</w:t>
            </w:r>
            <w:r>
              <w:t>）；</w:t>
            </w:r>
          </w:p>
          <w:p w14:paraId="52A1C9F9" w14:textId="77777777" w:rsidR="00FD6984" w:rsidRDefault="00000000">
            <w:pPr>
              <w:jc w:val="left"/>
            </w:pPr>
            <m:oMath>
              <m:sSup>
                <m:sSupPr>
                  <m:ctrlPr>
                    <w:rPr>
                      <w:rFonts w:ascii="Cambria Math" w:hAnsi="Cambria Math"/>
                      <w:i/>
                    </w:rPr>
                  </m:ctrlPr>
                </m:sSupPr>
                <m:e>
                  <m:r>
                    <w:rPr>
                      <w:rFonts w:ascii="Cambria Math" w:hAnsi="Cambria Math"/>
                    </w:rPr>
                    <m:t>10</m:t>
                  </m:r>
                </m:e>
                <m:sup>
                  <m:r>
                    <w:rPr>
                      <w:rFonts w:ascii="Cambria Math" w:hAnsi="Cambria Math"/>
                    </w:rPr>
                    <m:t>-8</m:t>
                  </m:r>
                </m:sup>
              </m:sSup>
            </m:oMath>
            <w:r>
              <w:t>——</w:t>
            </w:r>
            <w:r>
              <w:rPr>
                <w:rFonts w:hint="eastAsia"/>
              </w:rPr>
              <w:t>单位换算系数。</w:t>
            </w:r>
          </w:p>
        </w:tc>
      </w:tr>
      <w:tr w:rsidR="00FD6984" w14:paraId="0D56311E" w14:textId="77777777">
        <w:tc>
          <w:tcPr>
            <w:tcW w:w="3256" w:type="dxa"/>
            <w:vMerge/>
            <w:vAlign w:val="center"/>
          </w:tcPr>
          <w:p w14:paraId="6E0E0E7A" w14:textId="77777777" w:rsidR="00FD6984" w:rsidRDefault="00FD6984">
            <w:pPr>
              <w:spacing w:line="240" w:lineRule="auto"/>
              <w:jc w:val="center"/>
              <w:rPr>
                <w:kern w:val="0"/>
                <w:szCs w:val="20"/>
              </w:rPr>
            </w:pPr>
          </w:p>
        </w:tc>
        <w:tc>
          <w:tcPr>
            <w:tcW w:w="3118" w:type="dxa"/>
            <w:vAlign w:val="center"/>
          </w:tcPr>
          <w:p w14:paraId="2C4E5FDF" w14:textId="77777777" w:rsidR="00FD6984" w:rsidRDefault="00000000">
            <w:pPr>
              <w:spacing w:line="240" w:lineRule="auto"/>
              <w:jc w:val="center"/>
              <w:rPr>
                <w:kern w:val="0"/>
                <w:szCs w:val="20"/>
              </w:rPr>
            </w:pPr>
            <m:oMathPara>
              <m:oMath>
                <m:sSub>
                  <m:sSubPr>
                    <m:ctrlPr>
                      <w:rPr>
                        <w:rFonts w:ascii="Cambria Math" w:hAnsi="Cambria Math"/>
                      </w:rPr>
                    </m:ctrlPr>
                  </m:sSubPr>
                  <m:e>
                    <m:r>
                      <w:rPr>
                        <w:rFonts w:ascii="Cambria Math" w:hAnsi="Cambria Math"/>
                      </w:rPr>
                      <m:t>V</m:t>
                    </m:r>
                  </m:e>
                  <m:sub>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r</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i</m:t>
                    </m:r>
                    <m:r>
                      <m:rPr>
                        <m:sty m:val="p"/>
                      </m:rPr>
                      <w:rPr>
                        <w:rFonts w:ascii="Cambria Math" w:hAnsi="Cambria Math"/>
                      </w:rPr>
                      <m:t>,</m:t>
                    </m:r>
                    <m:r>
                      <w:rPr>
                        <w:rFonts w:ascii="Cambria Math" w:hAnsi="Cambria Math"/>
                      </w:rPr>
                      <m:t>r</m:t>
                    </m:r>
                  </m:sub>
                </m:sSub>
                <m:r>
                  <m:rPr>
                    <m:sty m:val="p"/>
                  </m:rPr>
                  <w:rPr>
                    <w:rFonts w:ascii="Cambria Math" w:hAnsi="Cambria Math"/>
                  </w:rPr>
                  <m:t>×</m:t>
                </m:r>
                <m:sSub>
                  <m:sSubPr>
                    <m:ctrlPr>
                      <w:rPr>
                        <w:rFonts w:ascii="Cambria Math" w:hAnsi="Cambria Math"/>
                      </w:rPr>
                    </m:ctrlPr>
                  </m:sSubPr>
                  <m:e>
                    <m:r>
                      <w:rPr>
                        <w:rFonts w:ascii="Cambria Math" w:hAnsi="Cambria Math" w:hint="eastAsia"/>
                      </w:rPr>
                      <m:t>p</m:t>
                    </m:r>
                  </m:e>
                  <m:sub>
                    <m:r>
                      <w:rPr>
                        <w:rFonts w:ascii="Cambria Math" w:hAnsi="Cambria Math" w:hint="eastAsia"/>
                      </w:rPr>
                      <m:t>i</m:t>
                    </m:r>
                    <m:r>
                      <m:rPr>
                        <m:sty m:val="p"/>
                      </m:rPr>
                      <w:rPr>
                        <w:rFonts w:ascii="Cambria Math" w:hAnsi="Cambria Math"/>
                      </w:rPr>
                      <m:t>,</m:t>
                    </m:r>
                    <m:r>
                      <w:rPr>
                        <w:rFonts w:ascii="Cambria Math" w:hAnsi="Cambria Math" w:hint="eastAsia"/>
                      </w:rPr>
                      <m:t>j</m:t>
                    </m:r>
                  </m:sub>
                </m:sSub>
              </m:oMath>
            </m:oMathPara>
          </w:p>
        </w:tc>
        <w:tc>
          <w:tcPr>
            <w:tcW w:w="7574" w:type="dxa"/>
            <w:vAlign w:val="center"/>
          </w:tcPr>
          <w:p w14:paraId="5B12D82D" w14:textId="77777777" w:rsidR="00FD6984" w:rsidRDefault="00000000">
            <w:pPr>
              <w:jc w:val="left"/>
              <w:rPr>
                <w:color w:val="FF0000"/>
              </w:rPr>
            </w:pPr>
            <m:oMath>
              <m:sSub>
                <m:sSubPr>
                  <m:ctrlPr>
                    <w:rPr>
                      <w:rFonts w:ascii="Cambria Math" w:hAnsi="Cambria Math"/>
                      <w:i/>
                    </w:rPr>
                  </m:ctrlPr>
                </m:sSubPr>
                <m:e>
                  <m:r>
                    <w:rPr>
                      <w:rFonts w:ascii="Cambria Math" w:hAnsi="Cambria Math"/>
                    </w:rPr>
                    <m:t>V</m:t>
                  </m:r>
                </m:e>
                <m:sub>
                  <m:r>
                    <w:rPr>
                      <w:rFonts w:ascii="Cambria Math" w:hAnsi="Cambria Math"/>
                    </w:rPr>
                    <m:t>i,r</m:t>
                  </m:r>
                </m:sub>
              </m:sSub>
            </m:oMath>
            <w:r>
              <w:t>—</w:t>
            </w:r>
            <w:r>
              <w:rPr>
                <w:szCs w:val="21"/>
              </w:rPr>
              <w:t>—</w:t>
            </w:r>
            <w:r>
              <w:t>通过区间</w:t>
            </w:r>
            <w:r>
              <w:rPr>
                <w:i/>
                <w:iCs/>
              </w:rPr>
              <w:t>r</w:t>
            </w:r>
            <w:r>
              <w:t>的第</w:t>
            </w:r>
            <w:proofErr w:type="spellStart"/>
            <w:r>
              <w:rPr>
                <w:i/>
                <w:iCs/>
              </w:rPr>
              <w:t>i</w:t>
            </w:r>
            <w:proofErr w:type="spellEnd"/>
            <w:r>
              <w:t>类车型</w:t>
            </w:r>
            <w:r>
              <w:rPr>
                <w:rFonts w:hint="eastAsia"/>
              </w:rPr>
              <w:t>的</w:t>
            </w:r>
            <w:r>
              <w:t>数量，单位为辆；</w:t>
            </w:r>
          </w:p>
          <w:p w14:paraId="233704BE" w14:textId="77777777" w:rsidR="00FD6984" w:rsidRDefault="00000000">
            <w:pPr>
              <w:jc w:val="left"/>
              <w:rPr>
                <w:color w:val="FF0000"/>
              </w:rPr>
            </w:pPr>
            <m:oMath>
              <m:sSub>
                <m:sSubPr>
                  <m:ctrlPr>
                    <w:rPr>
                      <w:rFonts w:ascii="Cambria Math" w:hAnsi="Cambria Math"/>
                      <w:i/>
                    </w:rPr>
                  </m:ctrlPr>
                </m:sSubPr>
                <m:e>
                  <m:r>
                    <w:rPr>
                      <w:rFonts w:ascii="Cambria Math" w:hAnsi="Cambria Math" w:hint="eastAsia"/>
                    </w:rPr>
                    <m:t>p</m:t>
                  </m:r>
                </m:e>
                <m:sub>
                  <m:r>
                    <w:rPr>
                      <w:rFonts w:ascii="Cambria Math" w:hAnsi="Cambria Math" w:hint="eastAsia"/>
                    </w:rPr>
                    <m:t>i</m:t>
                  </m:r>
                  <m:r>
                    <w:rPr>
                      <w:rFonts w:ascii="Cambria Math" w:hAnsi="Cambria Math"/>
                    </w:rPr>
                    <m:t>,</m:t>
                  </m:r>
                  <m:r>
                    <w:rPr>
                      <w:rFonts w:ascii="Cambria Math" w:hAnsi="Cambria Math" w:hint="eastAsia"/>
                    </w:rPr>
                    <m:t>j</m:t>
                  </m:r>
                </m:sub>
              </m:sSub>
            </m:oMath>
            <w:r>
              <w:t>—</w:t>
            </w:r>
            <w:r>
              <w:rPr>
                <w:szCs w:val="21"/>
              </w:rPr>
              <w:t>—</w:t>
            </w:r>
            <w:r>
              <w:t>第</w:t>
            </w:r>
            <w:proofErr w:type="spellStart"/>
            <w:r>
              <w:rPr>
                <w:i/>
                <w:iCs/>
              </w:rPr>
              <w:t>i</w:t>
            </w:r>
            <w:proofErr w:type="spellEnd"/>
            <w:r>
              <w:t>类车型</w:t>
            </w:r>
            <w:r>
              <w:rPr>
                <w:rFonts w:hint="eastAsia"/>
              </w:rPr>
              <w:t>中</w:t>
            </w:r>
            <w:r>
              <w:t>使用</w:t>
            </w:r>
            <w:r>
              <w:rPr>
                <w:rFonts w:hint="eastAsia"/>
              </w:rPr>
              <w:t>第</w:t>
            </w:r>
            <w:r>
              <w:rPr>
                <w:i/>
                <w:iCs/>
              </w:rPr>
              <w:t>j</w:t>
            </w:r>
            <w:r>
              <w:rPr>
                <w:rFonts w:hint="eastAsia"/>
              </w:rPr>
              <w:t>种</w:t>
            </w:r>
            <w:r>
              <w:t>化石燃料的</w:t>
            </w:r>
            <w:r>
              <w:rPr>
                <w:rFonts w:hint="eastAsia"/>
              </w:rPr>
              <w:t>比例。</w:t>
            </w:r>
          </w:p>
          <w:p w14:paraId="725A4D59" w14:textId="77777777" w:rsidR="00FD6984" w:rsidRDefault="00FD6984">
            <w:pPr>
              <w:spacing w:line="240" w:lineRule="auto"/>
              <w:jc w:val="left"/>
              <w:rPr>
                <w:rFonts w:cs="Times New Roman"/>
                <w:kern w:val="0"/>
                <w:szCs w:val="20"/>
              </w:rPr>
            </w:pPr>
          </w:p>
        </w:tc>
      </w:tr>
      <w:tr w:rsidR="00FD6984" w14:paraId="02695B03" w14:textId="77777777">
        <w:tc>
          <w:tcPr>
            <w:tcW w:w="3256" w:type="dxa"/>
            <w:vMerge w:val="restart"/>
            <w:vAlign w:val="center"/>
          </w:tcPr>
          <w:p w14:paraId="3EA70106" w14:textId="77777777" w:rsidR="00FD6984" w:rsidRDefault="00000000">
            <w:pPr>
              <w:spacing w:line="240" w:lineRule="auto"/>
              <w:jc w:val="center"/>
              <w:rPr>
                <w:kern w:val="0"/>
                <w:szCs w:val="20"/>
              </w:rPr>
            </w:pPr>
            <w:r>
              <w:rPr>
                <w:rFonts w:hint="eastAsia"/>
                <w:kern w:val="0"/>
                <w:szCs w:val="20"/>
              </w:rPr>
              <w:t>7.</w:t>
            </w:r>
            <w:r>
              <w:rPr>
                <w:kern w:val="0"/>
                <w:szCs w:val="20"/>
              </w:rPr>
              <w:t>5</w:t>
            </w:r>
            <w:r>
              <w:rPr>
                <w:rFonts w:hint="eastAsia"/>
                <w:kern w:val="0"/>
                <w:szCs w:val="20"/>
              </w:rPr>
              <w:tab/>
            </w:r>
            <w:r>
              <w:rPr>
                <w:rFonts w:hint="eastAsia"/>
                <w:kern w:val="0"/>
                <w:szCs w:val="20"/>
              </w:rPr>
              <w:t>纯电动车型碳排放</w:t>
            </w:r>
          </w:p>
        </w:tc>
        <w:tc>
          <w:tcPr>
            <w:tcW w:w="3118" w:type="dxa"/>
            <w:vAlign w:val="center"/>
          </w:tcPr>
          <w:p w14:paraId="27DF14B4" w14:textId="77777777" w:rsidR="00FD6984" w:rsidRDefault="00000000">
            <w:pPr>
              <w:spacing w:line="240" w:lineRule="auto"/>
              <w:jc w:val="center"/>
              <w:rPr>
                <w:kern w:val="0"/>
                <w:szCs w:val="20"/>
              </w:rPr>
            </w:pPr>
            <m:oMathPara>
              <m:oMath>
                <m:sSub>
                  <m:sSubPr>
                    <m:ctrlPr>
                      <w:rPr>
                        <w:rFonts w:ascii="Cambria Math" w:hAnsi="Cambria Math"/>
                      </w:rPr>
                    </m:ctrlPr>
                  </m:sSubPr>
                  <m:e>
                    <m:r>
                      <w:rPr>
                        <w:rFonts w:ascii="Cambria Math" w:hAnsi="Cambria Math"/>
                      </w:rPr>
                      <m:t>E</m:t>
                    </m:r>
                  </m:e>
                  <m:sub>
                    <m:r>
                      <w:rPr>
                        <w:rFonts w:ascii="Cambria Math" w:hAnsi="Cambria Math"/>
                      </w:rPr>
                      <m:t>e</m:t>
                    </m:r>
                    <m:r>
                      <m:rPr>
                        <m:sty m:val="p"/>
                      </m:rPr>
                      <w:rPr>
                        <w:rFonts w:ascii="Cambria Math" w:hAnsi="Cambria Math"/>
                      </w:rPr>
                      <m:t>-</m:t>
                    </m:r>
                    <m:sSub>
                      <m:sSubPr>
                        <m:ctrlPr>
                          <w:rPr>
                            <w:rFonts w:ascii="Cambria Math" w:hAnsi="Cambria Math"/>
                          </w:rPr>
                        </m:ctrlPr>
                      </m:sSubPr>
                      <m:e>
                        <m:r>
                          <w:rPr>
                            <w:rFonts w:ascii="Cambria Math" w:hAnsi="Cambria Math"/>
                          </w:rPr>
                          <m:t>CO</m:t>
                        </m:r>
                      </m:e>
                      <m:sub>
                        <m:r>
                          <m:rPr>
                            <m:sty m:val="p"/>
                          </m:rPr>
                          <w:rPr>
                            <w:rFonts w:ascii="Cambria Math" w:hAnsi="Cambria Math"/>
                          </w:rPr>
                          <m:t>2</m:t>
                        </m:r>
                      </m:sub>
                    </m:sSub>
                    <m:r>
                      <m:rPr>
                        <m:sty m:val="p"/>
                      </m:rPr>
                      <w:rPr>
                        <w:rFonts w:ascii="Cambria Math" w:hAnsi="Cambria Math"/>
                      </w:rPr>
                      <m:t>,</m:t>
                    </m:r>
                    <m:r>
                      <w:rPr>
                        <w:rFonts w:ascii="Cambria Math" w:hAnsi="Cambria Math" w:hint="eastAsia"/>
                      </w:rPr>
                      <m:t>i</m:t>
                    </m:r>
                    <m:r>
                      <m:rPr>
                        <m:sty m:val="p"/>
                      </m:rPr>
                      <w:rPr>
                        <w:rFonts w:ascii="Cambria Math" w:hAnsi="Cambria Math"/>
                      </w:rPr>
                      <m:t>,</m:t>
                    </m:r>
                    <m:r>
                      <w:rPr>
                        <w:rFonts w:ascii="Cambria Math" w:hAnsi="Cambria Math"/>
                      </w:rPr>
                      <m:t>r</m:t>
                    </m:r>
                  </m:sub>
                </m:sSub>
                <m:r>
                  <m:rPr>
                    <m:sty m:val="p"/>
                  </m:rPr>
                  <w:rPr>
                    <w:rFonts w:ascii="Cambria Math" w:hAnsi="Cambria Math"/>
                  </w:rPr>
                  <m:t>=</m:t>
                </m:r>
                <m:sSub>
                  <m:sSubPr>
                    <m:ctrlPr>
                      <w:rPr>
                        <w:rFonts w:ascii="Cambria Math" w:hAnsi="Cambria Math"/>
                      </w:rPr>
                    </m:ctrlPr>
                  </m:sSubPr>
                  <m:e>
                    <m:r>
                      <w:rPr>
                        <w:rFonts w:ascii="Cambria Math" w:hAnsi="Cambria Math"/>
                      </w:rPr>
                      <m:t>AD</m:t>
                    </m:r>
                  </m:e>
                  <m:sub>
                    <m:r>
                      <w:rPr>
                        <w:rFonts w:ascii="Cambria Math" w:hAnsi="Cambria Math"/>
                      </w:rPr>
                      <m:t>e</m:t>
                    </m:r>
                    <m:r>
                      <m:rPr>
                        <m:sty m:val="p"/>
                      </m:rPr>
                      <w:rPr>
                        <w:rFonts w:ascii="Cambria Math" w:hAnsi="Cambria Math"/>
                      </w:rPr>
                      <m:t>-</m:t>
                    </m:r>
                    <m:sSub>
                      <m:sSubPr>
                        <m:ctrlPr>
                          <w:rPr>
                            <w:rFonts w:ascii="Cambria Math" w:hAnsi="Cambria Math"/>
                          </w:rPr>
                        </m:ctrlPr>
                      </m:sSubPr>
                      <m:e>
                        <m:r>
                          <w:rPr>
                            <w:rFonts w:ascii="Cambria Math" w:hAnsi="Cambria Math" w:hint="eastAsia"/>
                          </w:rPr>
                          <m:t>CO</m:t>
                        </m:r>
                      </m:e>
                      <m:sub>
                        <m:r>
                          <m:rPr>
                            <m:sty m:val="p"/>
                          </m:rPr>
                          <w:rPr>
                            <w:rFonts w:ascii="Cambria Math" w:hAnsi="Cambria Math"/>
                          </w:rPr>
                          <m:t>2</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r</m:t>
                    </m:r>
                  </m:sub>
                </m:sSub>
                <m:sSub>
                  <m:sSubPr>
                    <m:ctrlPr>
                      <w:rPr>
                        <w:rFonts w:ascii="Cambria Math" w:hAnsi="Cambria Math"/>
                      </w:rPr>
                    </m:ctrlPr>
                  </m:sSubPr>
                  <m:e>
                    <m:r>
                      <m:rPr>
                        <m:sty m:val="p"/>
                      </m:rPr>
                      <w:rPr>
                        <w:rFonts w:ascii="Cambria Math" w:hAnsi="Cambria Math"/>
                      </w:rPr>
                      <m:t>×</m:t>
                    </m:r>
                    <m:r>
                      <w:rPr>
                        <w:rFonts w:ascii="Cambria Math" w:hAnsi="Cambria Math"/>
                      </w:rPr>
                      <m:t>EF</m:t>
                    </m:r>
                  </m:e>
                  <m:sub>
                    <m:r>
                      <w:rPr>
                        <w:rFonts w:ascii="Cambria Math" w:hAnsi="Cambria Math"/>
                      </w:rPr>
                      <m:t>e</m:t>
                    </m:r>
                  </m:sub>
                </m:sSub>
              </m:oMath>
            </m:oMathPara>
          </w:p>
        </w:tc>
        <w:tc>
          <w:tcPr>
            <w:tcW w:w="7574" w:type="dxa"/>
            <w:vAlign w:val="center"/>
          </w:tcPr>
          <w:p w14:paraId="037BF0BC" w14:textId="77777777" w:rsidR="00FD6984" w:rsidRDefault="00000000">
            <w:pPr>
              <w:jc w:val="left"/>
            </w:pPr>
            <m:oMath>
              <m:sSub>
                <m:sSubPr>
                  <m:ctrlPr>
                    <w:rPr>
                      <w:rFonts w:ascii="Cambria Math" w:hAnsi="Cambria Math"/>
                    </w:rPr>
                  </m:ctrlPr>
                </m:sSubPr>
                <m:e>
                  <m:r>
                    <w:rPr>
                      <w:rFonts w:ascii="Cambria Math" w:hAnsi="Cambria Math"/>
                    </w:rPr>
                    <m:t>AD</m:t>
                  </m:r>
                </m:e>
                <m:sub>
                  <m:r>
                    <w:rPr>
                      <w:rFonts w:ascii="Cambria Math" w:hAnsi="Cambria Math"/>
                    </w:rPr>
                    <m:t>e</m:t>
                  </m:r>
                  <m:r>
                    <m:rPr>
                      <m:sty m:val="p"/>
                    </m:rPr>
                    <w:rPr>
                      <w:rFonts w:ascii="Cambria Math" w:hAnsi="Cambria Math"/>
                    </w:rPr>
                    <m:t>-</m:t>
                  </m:r>
                  <m:sSub>
                    <m:sSubPr>
                      <m:ctrlPr>
                        <w:rPr>
                          <w:rFonts w:ascii="Cambria Math" w:hAnsi="Cambria Math"/>
                        </w:rPr>
                      </m:ctrlPr>
                    </m:sSubPr>
                    <m:e>
                      <m:r>
                        <w:rPr>
                          <w:rFonts w:ascii="Cambria Math" w:hAnsi="Cambria Math" w:hint="eastAsia"/>
                        </w:rPr>
                        <m:t>CO</m:t>
                      </m:r>
                    </m:e>
                    <m:sub>
                      <m:r>
                        <m:rPr>
                          <m:sty m:val="p"/>
                        </m:rPr>
                        <w:rPr>
                          <w:rFonts w:ascii="Cambria Math" w:hAnsi="Cambria Math"/>
                        </w:rPr>
                        <m:t>2</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r</m:t>
                  </m:r>
                </m:sub>
              </m:sSub>
            </m:oMath>
            <w:r>
              <w:t>——</w:t>
            </w:r>
            <w:r>
              <w:rPr>
                <w:rFonts w:hint="eastAsia"/>
              </w:rPr>
              <w:t>第</w:t>
            </w:r>
            <w:proofErr w:type="spellStart"/>
            <w:r>
              <w:rPr>
                <w:i/>
                <w:iCs/>
              </w:rPr>
              <w:t>i</w:t>
            </w:r>
            <w:proofErr w:type="spellEnd"/>
            <w:r>
              <w:rPr>
                <w:rFonts w:hint="eastAsia"/>
              </w:rPr>
              <w:t>类</w:t>
            </w:r>
            <w:r>
              <w:t>车型</w:t>
            </w:r>
            <w:r>
              <w:rPr>
                <w:rFonts w:hint="eastAsia"/>
              </w:rPr>
              <w:t>使用电力</w:t>
            </w:r>
            <w:r>
              <w:rPr>
                <w:rFonts w:hint="eastAsia"/>
              </w:rPr>
              <w:t>e</w:t>
            </w:r>
            <w:r>
              <w:rPr>
                <w:rFonts w:hint="eastAsia"/>
              </w:rPr>
              <w:t>驱动行驶在区间</w:t>
            </w:r>
            <w:r>
              <w:rPr>
                <w:i/>
                <w:iCs/>
              </w:rPr>
              <w:t>r</w:t>
            </w:r>
            <w:r>
              <w:t>的活动</w:t>
            </w:r>
            <w:r>
              <w:rPr>
                <w:rFonts w:hint="eastAsia"/>
              </w:rPr>
              <w:t>数据（即消耗电量）</w:t>
            </w:r>
            <w:r>
              <w:t>，单位为兆瓦时（</w:t>
            </w:r>
            <w:r>
              <w:rPr>
                <w:rFonts w:hint="eastAsia"/>
              </w:rPr>
              <w:t>MWh</w:t>
            </w:r>
            <w:r>
              <w:t>）；</w:t>
            </w:r>
          </w:p>
          <w:p w14:paraId="7BF24A72" w14:textId="77777777" w:rsidR="00FD6984" w:rsidRDefault="00000000">
            <w:pPr>
              <w:jc w:val="left"/>
            </w:pPr>
            <m:oMath>
              <m:sSub>
                <m:sSubPr>
                  <m:ctrlPr>
                    <w:rPr>
                      <w:rFonts w:ascii="Cambria Math" w:hAnsi="Cambria Math"/>
                      <w:i/>
                    </w:rPr>
                  </m:ctrlPr>
                </m:sSubPr>
                <m:e>
                  <m:r>
                    <w:rPr>
                      <w:rFonts w:ascii="Cambria Math" w:hAnsi="Cambria Math"/>
                    </w:rPr>
                    <m:t>EF</m:t>
                  </m:r>
                </m:e>
                <m:sub>
                  <m:r>
                    <w:rPr>
                      <w:rFonts w:ascii="Cambria Math" w:hAnsi="Cambria Math" w:hint="eastAsia"/>
                    </w:rPr>
                    <m:t>e</m:t>
                  </m:r>
                </m:sub>
              </m:sSub>
            </m:oMath>
            <w:r>
              <w:rPr>
                <w:rFonts w:hint="eastAsia"/>
              </w:rPr>
              <w:t>——</w:t>
            </w:r>
            <w:r>
              <w:t>区域电网平均二氧化碳排放因子，</w:t>
            </w:r>
            <w:proofErr w:type="gramStart"/>
            <w:r>
              <w:t>单位为吨二氧化碳</w:t>
            </w:r>
            <w:proofErr w:type="gramEnd"/>
            <w:r>
              <w:t>每兆瓦时</w:t>
            </w:r>
            <w:r>
              <w:rPr>
                <w:rFonts w:hint="eastAsia"/>
              </w:rPr>
              <w:t>（</w:t>
            </w:r>
            <w:r>
              <w:t>tCO</w:t>
            </w:r>
            <w:r>
              <w:rPr>
                <w:vertAlign w:val="subscript"/>
              </w:rPr>
              <w:t>2</w:t>
            </w:r>
            <w:r>
              <w:t>/</w:t>
            </w:r>
            <w:r>
              <w:rPr>
                <w:rFonts w:hint="eastAsia"/>
              </w:rPr>
              <w:t>MWh</w:t>
            </w:r>
            <w:r>
              <w:rPr>
                <w:rFonts w:hint="eastAsia"/>
              </w:rPr>
              <w:t>）。</w:t>
            </w:r>
          </w:p>
          <w:p w14:paraId="0C35AE38" w14:textId="77777777" w:rsidR="00FD6984" w:rsidRDefault="00FD6984">
            <w:pPr>
              <w:spacing w:line="240" w:lineRule="auto"/>
              <w:jc w:val="left"/>
              <w:rPr>
                <w:kern w:val="0"/>
                <w:szCs w:val="20"/>
              </w:rPr>
            </w:pPr>
          </w:p>
        </w:tc>
      </w:tr>
      <w:tr w:rsidR="00FD6984" w14:paraId="23FC2BA8" w14:textId="77777777">
        <w:tc>
          <w:tcPr>
            <w:tcW w:w="3256" w:type="dxa"/>
            <w:vMerge/>
            <w:vAlign w:val="center"/>
          </w:tcPr>
          <w:p w14:paraId="1ED52C34" w14:textId="77777777" w:rsidR="00FD6984" w:rsidRDefault="00FD6984">
            <w:pPr>
              <w:spacing w:line="240" w:lineRule="auto"/>
              <w:jc w:val="center"/>
              <w:rPr>
                <w:kern w:val="0"/>
                <w:szCs w:val="20"/>
              </w:rPr>
            </w:pPr>
          </w:p>
        </w:tc>
        <w:tc>
          <w:tcPr>
            <w:tcW w:w="3118" w:type="dxa"/>
            <w:vAlign w:val="center"/>
          </w:tcPr>
          <w:p w14:paraId="730D7D83" w14:textId="77777777" w:rsidR="00FD6984" w:rsidRDefault="00000000">
            <w:pPr>
              <w:spacing w:line="240" w:lineRule="auto"/>
              <w:jc w:val="center"/>
              <w:rPr>
                <w:kern w:val="0"/>
                <w:szCs w:val="20"/>
              </w:rPr>
            </w:pPr>
            <m:oMathPara>
              <m:oMath>
                <m:sSub>
                  <m:sSubPr>
                    <m:ctrlPr>
                      <w:rPr>
                        <w:rFonts w:ascii="Cambria Math" w:hAnsi="Cambria Math"/>
                        <w:i/>
                      </w:rPr>
                    </m:ctrlPr>
                  </m:sSubPr>
                  <m:e>
                    <m:r>
                      <w:rPr>
                        <w:rFonts w:ascii="Cambria Math" w:hAnsi="Cambria Math"/>
                      </w:rPr>
                      <m:t>AD</m:t>
                    </m:r>
                  </m:e>
                  <m:sub>
                    <m:r>
                      <w:rPr>
                        <w:rFonts w:ascii="Cambria Math" w:hAnsi="Cambria Math"/>
                      </w:rPr>
                      <m:t>e-</m:t>
                    </m:r>
                    <m:sSub>
                      <m:sSubPr>
                        <m:ctrlPr>
                          <w:rPr>
                            <w:rFonts w:ascii="Cambria Math" w:hAnsi="Cambria Math"/>
                            <w:i/>
                          </w:rPr>
                        </m:ctrlPr>
                      </m:sSubPr>
                      <m:e>
                        <m:r>
                          <w:rPr>
                            <w:rFonts w:ascii="Cambria Math" w:hAnsi="Cambria Math" w:hint="eastAsia"/>
                          </w:rPr>
                          <m:t>CO</m:t>
                        </m:r>
                      </m:e>
                      <m:sub>
                        <m:r>
                          <w:rPr>
                            <w:rFonts w:ascii="Cambria Math" w:hAnsi="Cambria Math"/>
                          </w:rPr>
                          <m:t>2</m:t>
                        </m:r>
                      </m:sub>
                    </m:sSub>
                    <m:r>
                      <w:rPr>
                        <w:rFonts w:ascii="Cambria Math" w:hAnsi="Cambria Math"/>
                      </w:rPr>
                      <m:t>,i,r</m:t>
                    </m:r>
                  </m:sub>
                </m:sSub>
                <m:r>
                  <m:rPr>
                    <m:sty m:val="p"/>
                  </m:rPr>
                  <w:rPr>
                    <w:rFonts w:ascii="Cambria Math" w:hAnsi="Cambria Math"/>
                  </w:rPr>
                  <m:t>=</m:t>
                </m:r>
                <m:r>
                  <w:rPr>
                    <w:rFonts w:ascii="Cambria Math" w:hAnsi="Cambria Math" w:hint="eastAsia"/>
                  </w:rPr>
                  <m:t>E</m:t>
                </m:r>
                <m:sSub>
                  <m:sSubPr>
                    <m:ctrlPr>
                      <w:rPr>
                        <w:rFonts w:ascii="Cambria Math" w:hAnsi="Cambria Math"/>
                      </w:rPr>
                    </m:ctrlPr>
                  </m:sSubPr>
                  <m:e>
                    <m:r>
                      <w:rPr>
                        <w:rFonts w:ascii="Cambria Math" w:hAnsi="Cambria Math"/>
                      </w:rPr>
                      <m:t>C</m:t>
                    </m:r>
                  </m:e>
                  <m:sub>
                    <m:r>
                      <w:rPr>
                        <w:rFonts w:ascii="Cambria Math" w:hAnsi="Cambria Math" w:hint="eastAsia"/>
                      </w:rPr>
                      <m:t>i</m:t>
                    </m:r>
                    <m:r>
                      <m:rPr>
                        <m:sty m:val="p"/>
                      </m:rPr>
                      <w:rPr>
                        <w:rFonts w:ascii="Cambria Math" w:hAnsi="Cambria Math"/>
                      </w:rPr>
                      <m:t>,</m:t>
                    </m:r>
                    <m:r>
                      <w:rPr>
                        <w:rFonts w:ascii="Cambria Math" w:hAnsi="Cambria Math"/>
                      </w:rPr>
                      <m:t>r</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r</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i</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r</m:t>
                    </m:r>
                  </m:sub>
                </m:sSub>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-5</m:t>
                    </m:r>
                  </m:sup>
                </m:sSup>
              </m:oMath>
            </m:oMathPara>
          </w:p>
        </w:tc>
        <w:tc>
          <w:tcPr>
            <w:tcW w:w="7574" w:type="dxa"/>
            <w:vAlign w:val="center"/>
          </w:tcPr>
          <w:p w14:paraId="5F6D66BE" w14:textId="77777777" w:rsidR="00FD6984" w:rsidRDefault="00000000">
            <w:pPr>
              <w:jc w:val="left"/>
            </w:pPr>
            <m:oMath>
              <m:r>
                <w:rPr>
                  <w:rFonts w:ascii="Cambria Math" w:hAnsi="Cambria Math"/>
                </w:rPr>
                <m:t>E</m:t>
              </m:r>
              <m:sSub>
                <m:sSubPr>
                  <m:ctrlPr>
                    <w:rPr>
                      <w:rFonts w:ascii="Cambria Math" w:hAnsi="Cambria Math"/>
                      <w:i/>
                      <w:iCs/>
                    </w:rPr>
                  </m:ctrlPr>
                </m:sSubPr>
                <m:e>
                  <m:r>
                    <w:rPr>
                      <w:rFonts w:ascii="Cambria Math" w:hAnsi="Cambria Math"/>
                    </w:rPr>
                    <m:t>C</m:t>
                  </m:r>
                </m:e>
                <m:sub>
                  <m:r>
                    <w:rPr>
                      <w:rFonts w:ascii="Cambria Math" w:hAnsi="Cambria Math"/>
                    </w:rPr>
                    <m:t>i,r</m:t>
                  </m:r>
                </m:sub>
              </m:sSub>
            </m:oMath>
            <w:r>
              <w:t>——</w:t>
            </w:r>
            <w:r>
              <w:rPr>
                <w:rFonts w:hint="eastAsia"/>
              </w:rPr>
              <w:t>第</w:t>
            </w:r>
            <w:proofErr w:type="spellStart"/>
            <w:r>
              <w:rPr>
                <w:i/>
                <w:iCs/>
              </w:rPr>
              <w:t>i</w:t>
            </w:r>
            <w:proofErr w:type="spellEnd"/>
            <w:r>
              <w:rPr>
                <w:rFonts w:hint="eastAsia"/>
              </w:rPr>
              <w:t>类车型</w:t>
            </w:r>
            <w:r>
              <w:t>使用电力驱动行驶在区间</w:t>
            </w:r>
            <w:r>
              <w:rPr>
                <w:i/>
                <w:iCs/>
              </w:rPr>
              <w:t>r</w:t>
            </w:r>
            <w:r>
              <w:t>上的</w:t>
            </w:r>
            <w:proofErr w:type="gramStart"/>
            <w:r>
              <w:t>百公里</w:t>
            </w:r>
            <w:proofErr w:type="gramEnd"/>
            <w:r>
              <w:t>耗电量，单位为千瓦时每百公里（</w:t>
            </w:r>
            <w:r>
              <w:t>kWh/100km</w:t>
            </w:r>
            <w:r>
              <w:t>）；</w:t>
            </w:r>
          </w:p>
          <w:p w14:paraId="31D158BE" w14:textId="77777777" w:rsidR="00FD6984" w:rsidRDefault="00000000">
            <w:pPr>
              <w:jc w:val="left"/>
            </w:pPr>
            <m:oMath>
              <m:sSub>
                <m:sSubPr>
                  <m:ctrlPr>
                    <w:rPr>
                      <w:rFonts w:ascii="Cambria Math" w:hAnsi="Cambria Math"/>
                      <w:i/>
                      <w:iCs/>
                    </w:rPr>
                  </m:ctrlPr>
                </m:sSubPr>
                <m:e>
                  <m:r>
                    <w:rPr>
                      <w:rFonts w:ascii="Cambria Math" w:hAnsi="Cambria Math"/>
                    </w:rPr>
                    <m:t>D</m:t>
                  </m:r>
                </m:e>
                <m:sub>
                  <m:r>
                    <w:rPr>
                      <w:rFonts w:ascii="Cambria Math" w:hAnsi="Cambria Math"/>
                    </w:rPr>
                    <m:t>r</m:t>
                  </m:r>
                </m:sub>
              </m:sSub>
            </m:oMath>
            <w:r>
              <w:t>——</w:t>
            </w:r>
            <w:r>
              <w:t>区间车辆</w:t>
            </w:r>
            <w:r>
              <w:rPr>
                <w:rFonts w:hint="eastAsia"/>
              </w:rPr>
              <w:t>行驶</w:t>
            </w:r>
            <w:r>
              <w:t>里程，单位为千米（</w:t>
            </w:r>
            <w:r>
              <w:t>km</w:t>
            </w:r>
            <w:r>
              <w:t>）；</w:t>
            </w:r>
          </w:p>
          <w:p w14:paraId="4D0B7848" w14:textId="77777777" w:rsidR="00FD6984" w:rsidRDefault="00000000">
            <w:pPr>
              <w:jc w:val="left"/>
            </w:pPr>
            <m:oMath>
              <m:sSub>
                <m:sSubPr>
                  <m:ctrlPr>
                    <w:rPr>
                      <w:rFonts w:ascii="Cambria Math" w:hAnsi="Cambria Math"/>
                      <w:i/>
                      <w:iCs/>
                    </w:rPr>
                  </m:ctrlPr>
                </m:sSubPr>
                <m:e>
                  <m:r>
                    <w:rPr>
                      <w:rFonts w:ascii="Cambria Math" w:hAnsi="Cambria Math"/>
                    </w:rPr>
                    <m:t>V</m:t>
                  </m:r>
                </m:e>
                <m:sub>
                  <m:r>
                    <w:rPr>
                      <w:rFonts w:ascii="Cambria Math" w:hAnsi="Cambria Math"/>
                    </w:rPr>
                    <m:t>i,e,r</m:t>
                  </m:r>
                </m:sub>
              </m:sSub>
            </m:oMath>
            <w:r>
              <w:t>——</w:t>
            </w:r>
            <w:r>
              <w:t>使用电力</w:t>
            </w:r>
            <w:r>
              <w:rPr>
                <w:i/>
                <w:iCs/>
              </w:rPr>
              <w:t>e</w:t>
            </w:r>
            <w:r>
              <w:t>驱动方式通过区间</w:t>
            </w:r>
            <w:r>
              <w:rPr>
                <w:i/>
                <w:iCs/>
              </w:rPr>
              <w:t>r</w:t>
            </w:r>
            <w:r>
              <w:t>的</w:t>
            </w:r>
            <w:r>
              <w:rPr>
                <w:rFonts w:hint="eastAsia"/>
              </w:rPr>
              <w:t>第</w:t>
            </w:r>
            <w:proofErr w:type="spellStart"/>
            <w:r>
              <w:rPr>
                <w:i/>
                <w:iCs/>
              </w:rPr>
              <w:t>i</w:t>
            </w:r>
            <w:proofErr w:type="spellEnd"/>
            <w:r>
              <w:rPr>
                <w:rFonts w:hint="eastAsia"/>
              </w:rPr>
              <w:t>类车型的</w:t>
            </w:r>
            <w:r>
              <w:t>数量，单位为辆；</w:t>
            </w:r>
          </w:p>
          <w:p w14:paraId="52BBE425" w14:textId="77777777" w:rsidR="00FD6984" w:rsidRDefault="00000000">
            <w:pPr>
              <w:jc w:val="left"/>
            </w:pPr>
            <m:oMath>
              <m:sSup>
                <m:sSupPr>
                  <m:ctrlPr>
                    <w:rPr>
                      <w:rFonts w:ascii="Cambria Math" w:hAnsi="Cambria Math"/>
                      <w:i/>
                    </w:rPr>
                  </m:ctrlPr>
                </m:sSupPr>
                <m:e>
                  <m:r>
                    <w:rPr>
                      <w:rFonts w:ascii="Cambria Math" w:hAnsi="Cambria Math"/>
                    </w:rPr>
                    <m:t>10</m:t>
                  </m:r>
                </m:e>
                <m:sup>
                  <m:r>
                    <w:rPr>
                      <w:rFonts w:ascii="Cambria Math" w:hAnsi="Cambria Math"/>
                    </w:rPr>
                    <m:t>-5</m:t>
                  </m:r>
                </m:sup>
              </m:sSup>
            </m:oMath>
            <w:r>
              <w:t>——</w:t>
            </w:r>
            <w:r>
              <w:rPr>
                <w:rFonts w:hint="eastAsia"/>
              </w:rPr>
              <w:t>单位换算系数。</w:t>
            </w:r>
          </w:p>
        </w:tc>
      </w:tr>
      <w:tr w:rsidR="00FD6984" w14:paraId="56E6F9A8" w14:textId="77777777">
        <w:tc>
          <w:tcPr>
            <w:tcW w:w="3256" w:type="dxa"/>
            <w:vMerge/>
            <w:vAlign w:val="center"/>
          </w:tcPr>
          <w:p w14:paraId="1C239DA1" w14:textId="77777777" w:rsidR="00FD6984" w:rsidRDefault="00FD6984">
            <w:pPr>
              <w:spacing w:line="240" w:lineRule="auto"/>
              <w:jc w:val="center"/>
              <w:rPr>
                <w:kern w:val="0"/>
                <w:szCs w:val="20"/>
              </w:rPr>
            </w:pPr>
          </w:p>
        </w:tc>
        <w:tc>
          <w:tcPr>
            <w:tcW w:w="3118" w:type="dxa"/>
            <w:vAlign w:val="center"/>
          </w:tcPr>
          <w:p w14:paraId="1D62FBE9" w14:textId="77777777" w:rsidR="00FD6984" w:rsidRDefault="00000000">
            <w:pPr>
              <w:spacing w:line="240" w:lineRule="auto"/>
              <w:jc w:val="center"/>
              <w:rPr>
                <w:kern w:val="0"/>
                <w:szCs w:val="20"/>
              </w:rPr>
            </w:pPr>
            <m:oMathPara>
              <m:oMath>
                <m:sSub>
                  <m:sSubPr>
                    <m:ctrlPr>
                      <w:rPr>
                        <w:rFonts w:ascii="Cambria Math" w:hAnsi="Cambria Math"/>
                      </w:rPr>
                    </m:ctrlPr>
                  </m:sSubPr>
                  <m:e>
                    <m:r>
                      <w:rPr>
                        <w:rFonts w:ascii="Cambria Math" w:hAnsi="Cambria Math"/>
                      </w:rPr>
                      <m:t>V</m:t>
                    </m:r>
                  </m:e>
                  <m:sub>
                    <m:r>
                      <w:rPr>
                        <w:rFonts w:ascii="Cambria Math" w:hAnsi="Cambria Math"/>
                      </w:rPr>
                      <m:t>i</m:t>
                    </m:r>
                    <m:r>
                      <m:rPr>
                        <m:sty m:val="p"/>
                      </m:rPr>
                      <w:rPr>
                        <w:rFonts w:ascii="Cambria Math" w:hAnsi="Cambria Math"/>
                      </w:rPr>
                      <m:t>,</m:t>
                    </m:r>
                    <m:r>
                      <w:rPr>
                        <w:rFonts w:ascii="Cambria Math" w:hAnsi="Cambria Math" w:hint="eastAsia"/>
                      </w:rPr>
                      <m:t>e</m:t>
                    </m:r>
                    <m:r>
                      <m:rPr>
                        <m:sty m:val="p"/>
                      </m:rPr>
                      <w:rPr>
                        <w:rFonts w:ascii="Cambria Math" w:hAnsi="Cambria Math"/>
                      </w:rPr>
                      <m:t>,</m:t>
                    </m:r>
                    <m:r>
                      <w:rPr>
                        <w:rFonts w:ascii="Cambria Math" w:hAnsi="Cambria Math"/>
                      </w:rPr>
                      <m:t>r</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i</m:t>
                    </m:r>
                    <m:r>
                      <m:rPr>
                        <m:sty m:val="p"/>
                      </m:rPr>
                      <w:rPr>
                        <w:rFonts w:ascii="Cambria Math" w:hAnsi="Cambria Math"/>
                      </w:rPr>
                      <m:t>,</m:t>
                    </m:r>
                    <m:r>
                      <w:rPr>
                        <w:rFonts w:ascii="Cambria Math" w:hAnsi="Cambria Math"/>
                      </w:rPr>
                      <m:t>r</m:t>
                    </m:r>
                  </m:sub>
                </m:sSub>
                <m:r>
                  <m:rPr>
                    <m:sty m:val="p"/>
                  </m:rPr>
                  <w:rPr>
                    <w:rFonts w:ascii="Cambria Math" w:hAnsi="Cambria Math"/>
                  </w:rPr>
                  <m:t>×</m:t>
                </m:r>
                <m:sSub>
                  <m:sSubPr>
                    <m:ctrlPr>
                      <w:rPr>
                        <w:rFonts w:ascii="Cambria Math" w:hAnsi="Cambria Math"/>
                        <w:szCs w:val="24"/>
                      </w:rPr>
                    </m:ctrlPr>
                  </m:sSubPr>
                  <m:e>
                    <m:r>
                      <w:rPr>
                        <w:rFonts w:ascii="Cambria Math" w:hAnsi="Cambria Math" w:hint="eastAsia"/>
                      </w:rPr>
                      <m:t>p</m:t>
                    </m:r>
                  </m:e>
                  <m:sub>
                    <m:r>
                      <w:rPr>
                        <w:rFonts w:ascii="Cambria Math" w:hAnsi="Cambria Math" w:hint="eastAsia"/>
                      </w:rPr>
                      <m:t>i</m:t>
                    </m:r>
                    <m:r>
                      <m:rPr>
                        <m:sty m:val="p"/>
                      </m:rPr>
                      <w:rPr>
                        <w:rFonts w:ascii="Cambria Math" w:hAnsi="Cambria Math"/>
                      </w:rPr>
                      <m:t>,</m:t>
                    </m:r>
                    <m:r>
                      <w:rPr>
                        <w:rFonts w:ascii="Cambria Math" w:hAnsi="Cambria Math"/>
                      </w:rPr>
                      <m:t>e</m:t>
                    </m:r>
                  </m:sub>
                </m:sSub>
              </m:oMath>
            </m:oMathPara>
          </w:p>
        </w:tc>
        <w:tc>
          <w:tcPr>
            <w:tcW w:w="7574" w:type="dxa"/>
            <w:vAlign w:val="center"/>
          </w:tcPr>
          <w:p w14:paraId="4307D35E" w14:textId="77777777" w:rsidR="00FD6984" w:rsidRDefault="00000000">
            <w:pPr>
              <w:jc w:val="left"/>
              <w:rPr>
                <w:color w:val="FF0000"/>
              </w:rPr>
            </w:pPr>
            <m:oMath>
              <m:sSub>
                <m:sSubPr>
                  <m:ctrlPr>
                    <w:rPr>
                      <w:rFonts w:ascii="Cambria Math" w:hAnsi="Cambria Math"/>
                      <w:i/>
                    </w:rPr>
                  </m:ctrlPr>
                </m:sSubPr>
                <m:e>
                  <m:r>
                    <w:rPr>
                      <w:rFonts w:ascii="Cambria Math" w:hAnsi="Cambria Math"/>
                    </w:rPr>
                    <m:t>V</m:t>
                  </m:r>
                </m:e>
                <m:sub>
                  <m:r>
                    <w:rPr>
                      <w:rFonts w:ascii="Cambria Math" w:hAnsi="Cambria Math"/>
                    </w:rPr>
                    <m:t>i,r</m:t>
                  </m:r>
                </m:sub>
              </m:sSub>
            </m:oMath>
            <w:r>
              <w:t>—</w:t>
            </w:r>
            <w:r>
              <w:rPr>
                <w:szCs w:val="21"/>
              </w:rPr>
              <w:t>—</w:t>
            </w:r>
            <w:r>
              <w:t>通过区间</w:t>
            </w:r>
            <w:r>
              <w:rPr>
                <w:i/>
                <w:iCs/>
              </w:rPr>
              <w:t>r</w:t>
            </w:r>
            <w:r>
              <w:t>的</w:t>
            </w:r>
            <w:r>
              <w:rPr>
                <w:rFonts w:hint="eastAsia"/>
              </w:rPr>
              <w:t>第</w:t>
            </w:r>
            <w:proofErr w:type="spellStart"/>
            <w:r>
              <w:rPr>
                <w:i/>
                <w:iCs/>
              </w:rPr>
              <w:t>i</w:t>
            </w:r>
            <w:proofErr w:type="spellEnd"/>
            <w:r>
              <w:rPr>
                <w:rFonts w:hint="eastAsia"/>
              </w:rPr>
              <w:t>类车型的</w:t>
            </w:r>
            <w:r>
              <w:t>数量，单位为辆；</w:t>
            </w:r>
          </w:p>
          <w:p w14:paraId="4D5EFD86" w14:textId="77777777" w:rsidR="00FD6984" w:rsidRDefault="00000000">
            <w:pPr>
              <w:jc w:val="left"/>
              <w:rPr>
                <w:color w:val="FF0000"/>
              </w:rPr>
            </w:pPr>
            <m:oMath>
              <m:sSub>
                <m:sSubPr>
                  <m:ctrlPr>
                    <w:rPr>
                      <w:rFonts w:ascii="Cambria Math" w:hAnsi="Cambria Math"/>
                      <w:i/>
                    </w:rPr>
                  </m:ctrlPr>
                </m:sSubPr>
                <m:e>
                  <m:r>
                    <w:rPr>
                      <w:rFonts w:ascii="Cambria Math" w:hAnsi="Cambria Math" w:hint="eastAsia"/>
                    </w:rPr>
                    <m:t>p</m:t>
                  </m:r>
                </m:e>
                <m:sub>
                  <m:r>
                    <w:rPr>
                      <w:rFonts w:ascii="Cambria Math" w:hAnsi="Cambria Math" w:hint="eastAsia"/>
                    </w:rPr>
                    <m:t>i</m:t>
                  </m:r>
                  <m:r>
                    <w:rPr>
                      <w:rFonts w:ascii="Cambria Math" w:hAnsi="Cambria Math"/>
                    </w:rPr>
                    <m:t>,e</m:t>
                  </m:r>
                </m:sub>
              </m:sSub>
            </m:oMath>
            <w:r>
              <w:t>—</w:t>
            </w:r>
            <w:r>
              <w:rPr>
                <w:szCs w:val="21"/>
              </w:rPr>
              <w:t>—</w:t>
            </w:r>
            <w:r>
              <w:rPr>
                <w:rFonts w:hint="eastAsia"/>
              </w:rPr>
              <w:t>第</w:t>
            </w:r>
            <w:proofErr w:type="spellStart"/>
            <w:r>
              <w:rPr>
                <w:i/>
                <w:iCs/>
              </w:rPr>
              <w:t>i</w:t>
            </w:r>
            <w:proofErr w:type="spellEnd"/>
            <w:r>
              <w:rPr>
                <w:rFonts w:hint="eastAsia"/>
              </w:rPr>
              <w:t>类车型中</w:t>
            </w:r>
            <w:r>
              <w:t>使用电力</w:t>
            </w:r>
            <w:r>
              <w:rPr>
                <w:i/>
                <w:iCs/>
              </w:rPr>
              <w:t>e</w:t>
            </w:r>
            <w:r>
              <w:t>驱动方式的</w:t>
            </w:r>
            <w:r>
              <w:rPr>
                <w:rFonts w:hint="eastAsia"/>
              </w:rPr>
              <w:t>比例。</w:t>
            </w:r>
          </w:p>
          <w:p w14:paraId="58ABEE6F" w14:textId="77777777" w:rsidR="00FD6984" w:rsidRDefault="00FD6984">
            <w:pPr>
              <w:spacing w:line="240" w:lineRule="auto"/>
              <w:jc w:val="left"/>
              <w:rPr>
                <w:rFonts w:cs="Times New Roman"/>
                <w:kern w:val="0"/>
                <w:szCs w:val="20"/>
              </w:rPr>
            </w:pPr>
          </w:p>
        </w:tc>
      </w:tr>
      <w:tr w:rsidR="00FD6984" w14:paraId="5F65E9C1" w14:textId="77777777">
        <w:trPr>
          <w:trHeight w:val="2071"/>
        </w:trPr>
        <w:tc>
          <w:tcPr>
            <w:tcW w:w="3256" w:type="dxa"/>
            <w:vAlign w:val="center"/>
          </w:tcPr>
          <w:p w14:paraId="760479FE" w14:textId="77777777" w:rsidR="00FD6984" w:rsidRDefault="00000000">
            <w:pPr>
              <w:spacing w:line="240" w:lineRule="auto"/>
              <w:jc w:val="center"/>
              <w:rPr>
                <w:kern w:val="0"/>
                <w:szCs w:val="20"/>
              </w:rPr>
            </w:pPr>
            <w:r>
              <w:rPr>
                <w:rFonts w:hint="eastAsia"/>
                <w:kern w:val="0"/>
                <w:szCs w:val="20"/>
              </w:rPr>
              <w:lastRenderedPageBreak/>
              <w:t>7.</w:t>
            </w:r>
            <w:r>
              <w:rPr>
                <w:kern w:val="0"/>
                <w:szCs w:val="20"/>
              </w:rPr>
              <w:t>6</w:t>
            </w:r>
            <w:r>
              <w:rPr>
                <w:rFonts w:hint="eastAsia"/>
                <w:kern w:val="0"/>
                <w:szCs w:val="20"/>
              </w:rPr>
              <w:tab/>
            </w:r>
            <w:r>
              <w:rPr>
                <w:rFonts w:hint="eastAsia"/>
                <w:kern w:val="0"/>
                <w:szCs w:val="20"/>
              </w:rPr>
              <w:t>其他车型碳排放计算</w:t>
            </w:r>
          </w:p>
        </w:tc>
        <w:tc>
          <w:tcPr>
            <w:tcW w:w="3118" w:type="dxa"/>
            <w:vAlign w:val="center"/>
          </w:tcPr>
          <w:p w14:paraId="24C90EEB" w14:textId="77777777" w:rsidR="00FD6984" w:rsidRDefault="00000000">
            <w:pPr>
              <w:spacing w:line="240" w:lineRule="auto"/>
              <w:jc w:val="center"/>
              <w:rPr>
                <w:kern w:val="0"/>
                <w:szCs w:val="20"/>
              </w:rPr>
            </w:pPr>
            <w:r>
              <w:rPr>
                <w:rFonts w:hint="eastAsia"/>
                <w:kern w:val="0"/>
                <w:szCs w:val="20"/>
              </w:rPr>
              <w:t>按表</w:t>
            </w:r>
            <w:r>
              <w:rPr>
                <w:rFonts w:hint="eastAsia"/>
                <w:kern w:val="0"/>
                <w:szCs w:val="20"/>
              </w:rPr>
              <w:t>8</w:t>
            </w:r>
            <w:r>
              <w:rPr>
                <w:rFonts w:hint="eastAsia"/>
                <w:kern w:val="0"/>
                <w:szCs w:val="20"/>
              </w:rPr>
              <w:t>方法，计算公式同上</w:t>
            </w:r>
          </w:p>
        </w:tc>
        <w:tc>
          <w:tcPr>
            <w:tcW w:w="7574" w:type="dxa"/>
            <w:vAlign w:val="center"/>
          </w:tcPr>
          <w:p w14:paraId="504E1AC5" w14:textId="77777777" w:rsidR="00FD6984" w:rsidRDefault="00000000">
            <w:pPr>
              <w:spacing w:line="240" w:lineRule="auto"/>
              <w:jc w:val="left"/>
              <w:rPr>
                <w:rFonts w:cs="Times New Roman"/>
                <w:kern w:val="0"/>
                <w:szCs w:val="20"/>
              </w:rPr>
            </w:pPr>
            <w:r>
              <w:rPr>
                <w:rFonts w:hint="eastAsia"/>
                <w:kern w:val="0"/>
                <w:szCs w:val="20"/>
              </w:rPr>
              <w:t>与计算公式对应</w:t>
            </w:r>
          </w:p>
        </w:tc>
      </w:tr>
    </w:tbl>
    <w:p w14:paraId="63C58A6C" w14:textId="77777777" w:rsidR="00FD6984" w:rsidRDefault="00FD6984"/>
    <w:p w14:paraId="2C5C2DFF" w14:textId="77777777" w:rsidR="00FD6984" w:rsidRDefault="00FD6984">
      <w:pPr>
        <w:ind w:firstLineChars="200" w:firstLine="480"/>
        <w:sectPr w:rsidR="00FD6984">
          <w:pgSz w:w="16838" w:h="11906" w:orient="landscape"/>
          <w:pgMar w:top="1800" w:right="1440" w:bottom="1800" w:left="1440" w:header="851" w:footer="992" w:gutter="0"/>
          <w:cols w:space="425"/>
          <w:docGrid w:type="lines" w:linePitch="326"/>
        </w:sectPr>
      </w:pPr>
    </w:p>
    <w:p w14:paraId="675D6487" w14:textId="77777777" w:rsidR="00FD6984" w:rsidRDefault="00000000">
      <w:pPr>
        <w:pStyle w:val="2"/>
      </w:pPr>
      <w:bookmarkStart w:id="29" w:name="_Toc169876061"/>
      <w:r>
        <w:rPr>
          <w:rFonts w:hint="eastAsia"/>
        </w:rPr>
        <w:lastRenderedPageBreak/>
        <w:t>活动数据</w:t>
      </w:r>
      <w:bookmarkEnd w:id="29"/>
    </w:p>
    <w:p w14:paraId="04E68788" w14:textId="77777777" w:rsidR="00FD6984" w:rsidRDefault="00000000">
      <w:pPr>
        <w:ind w:firstLine="420"/>
      </w:pPr>
      <w:r>
        <w:rPr>
          <w:rFonts w:hint="eastAsia"/>
        </w:rPr>
        <w:t>高速公路运营期</w:t>
      </w:r>
      <w:proofErr w:type="gramStart"/>
      <w:r>
        <w:rPr>
          <w:rFonts w:hint="eastAsia"/>
        </w:rPr>
        <w:t>移动源碳排放</w:t>
      </w:r>
      <w:proofErr w:type="gramEnd"/>
      <w:r>
        <w:rPr>
          <w:rFonts w:hint="eastAsia"/>
        </w:rPr>
        <w:t>核算所需的活动数据类型多样、具有多种来源，相关获取途径如下：</w:t>
      </w:r>
    </w:p>
    <w:p w14:paraId="1AEA22E2" w14:textId="77777777" w:rsidR="00FD6984" w:rsidRDefault="00000000">
      <w:pPr>
        <w:pStyle w:val="af4"/>
        <w:widowControl w:val="0"/>
        <w:numPr>
          <w:ilvl w:val="0"/>
          <w:numId w:val="2"/>
        </w:numPr>
        <w:ind w:firstLineChars="0"/>
      </w:pPr>
      <w:r>
        <w:rPr>
          <w:rFonts w:ascii="宋体" w:hAnsi="宋体" w:cs="宋体" w:hint="eastAsia"/>
        </w:rPr>
        <w:t>车辆运行能耗量由基准能耗修正得到；</w:t>
      </w:r>
    </w:p>
    <w:p w14:paraId="2348ED9A" w14:textId="77777777" w:rsidR="00FD6984" w:rsidRDefault="00000000">
      <w:pPr>
        <w:pStyle w:val="af4"/>
        <w:widowControl w:val="0"/>
        <w:numPr>
          <w:ilvl w:val="0"/>
          <w:numId w:val="2"/>
        </w:numPr>
        <w:ind w:firstLineChars="0"/>
      </w:pPr>
      <w:r>
        <w:rPr>
          <w:rFonts w:ascii="宋体" w:hAnsi="宋体" w:cs="宋体" w:hint="eastAsia"/>
        </w:rPr>
        <w:t>高速公路运营数据在满足核算标准要求的前提下由公路运营主管部门指定的数据运营方提供并维护，数据运营方可根据技术发展提供更准确多元的数据资源用于</w:t>
      </w:r>
      <w:proofErr w:type="gramStart"/>
      <w:r>
        <w:rPr>
          <w:rFonts w:ascii="宋体" w:hAnsi="宋体" w:cs="宋体" w:hint="eastAsia"/>
        </w:rPr>
        <w:t>移动源碳排放</w:t>
      </w:r>
      <w:proofErr w:type="gramEnd"/>
      <w:r>
        <w:rPr>
          <w:rFonts w:ascii="宋体" w:hAnsi="宋体" w:cs="宋体" w:hint="eastAsia"/>
        </w:rPr>
        <w:t>核算；</w:t>
      </w:r>
    </w:p>
    <w:p w14:paraId="3FCFFAF2" w14:textId="77777777" w:rsidR="00FD6984" w:rsidRDefault="00000000">
      <w:pPr>
        <w:pStyle w:val="af4"/>
        <w:widowControl w:val="0"/>
        <w:numPr>
          <w:ilvl w:val="0"/>
          <w:numId w:val="2"/>
        </w:numPr>
        <w:ind w:firstLineChars="0"/>
      </w:pPr>
      <w:r>
        <w:rPr>
          <w:rFonts w:ascii="宋体" w:hAnsi="宋体" w:cs="宋体" w:hint="eastAsia"/>
        </w:rPr>
        <w:t>各车型的基准能耗、燃料类型构成等数据及获取方式，按定期更新机制予以补充；</w:t>
      </w:r>
    </w:p>
    <w:p w14:paraId="28DAF320" w14:textId="76950364" w:rsidR="00FD6984" w:rsidRDefault="00000000">
      <w:pPr>
        <w:pStyle w:val="af4"/>
        <w:widowControl w:val="0"/>
        <w:numPr>
          <w:ilvl w:val="0"/>
          <w:numId w:val="2"/>
        </w:numPr>
        <w:ind w:firstLineChars="0"/>
      </w:pPr>
      <w:r>
        <w:rPr>
          <w:rFonts w:ascii="宋体" w:hAnsi="宋体" w:cs="宋体" w:hint="eastAsia"/>
        </w:rPr>
        <w:t>道路条件及气温条件数据按核算方法要求自行获取并提供来源说明。</w:t>
      </w:r>
    </w:p>
    <w:p w14:paraId="72ADEAF6" w14:textId="77777777" w:rsidR="00FD6984" w:rsidRDefault="00000000">
      <w:pPr>
        <w:ind w:firstLineChars="200" w:firstLine="480"/>
      </w:pPr>
      <w:r>
        <w:rPr>
          <w:rFonts w:hint="eastAsia"/>
        </w:rPr>
        <w:t>本文件中所述的活动数据主要包括车辆运行能源消耗量、需借助高速公路运营平台获得的活动数据、需定期更新的活动数据、其它必要数据等。</w:t>
      </w:r>
    </w:p>
    <w:p w14:paraId="151BE57E" w14:textId="77777777" w:rsidR="00FD6984" w:rsidRDefault="00000000">
      <w:pPr>
        <w:ind w:firstLineChars="200" w:firstLine="482"/>
        <w:rPr>
          <w:b/>
          <w:bCs/>
        </w:rPr>
      </w:pPr>
      <w:r>
        <w:rPr>
          <w:rFonts w:hint="eastAsia"/>
          <w:b/>
          <w:bCs/>
        </w:rPr>
        <w:t>（</w:t>
      </w:r>
      <w:r>
        <w:rPr>
          <w:rFonts w:hint="eastAsia"/>
          <w:b/>
          <w:bCs/>
        </w:rPr>
        <w:t>1</w:t>
      </w:r>
      <w:r>
        <w:rPr>
          <w:rFonts w:hint="eastAsia"/>
          <w:b/>
          <w:bCs/>
        </w:rPr>
        <w:t>）车辆运行能源消耗量</w:t>
      </w:r>
    </w:p>
    <w:p w14:paraId="6A3FCBA4" w14:textId="77777777" w:rsidR="00FD6984" w:rsidRDefault="00000000">
      <w:pPr>
        <w:ind w:firstLine="420"/>
      </w:pPr>
      <w:bookmarkStart w:id="30" w:name="_Hlk142591705"/>
      <w:r>
        <w:rPr>
          <w:rFonts w:hint="eastAsia"/>
        </w:rPr>
        <w:t>车辆运行能源消耗</w:t>
      </w:r>
      <w:proofErr w:type="gramStart"/>
      <w:r>
        <w:rPr>
          <w:rFonts w:hint="eastAsia"/>
        </w:rPr>
        <w:t>量及碳排放</w:t>
      </w:r>
      <w:proofErr w:type="gramEnd"/>
      <w:r>
        <w:rPr>
          <w:rFonts w:hint="eastAsia"/>
        </w:rPr>
        <w:t>与多种因素有关，如图</w:t>
      </w:r>
      <w:r>
        <w:t>9</w:t>
      </w:r>
      <w:r>
        <w:rPr>
          <w:rFonts w:hint="eastAsia"/>
        </w:rPr>
        <w:t>所示。但是这些因素全部纳入标准存在一定困难。一方面，经过分析后发现影响车辆能耗及排放的因素中有一些因素缺乏数据基础，难以获得量化结果，不宜纳入标准；另一方面本标准需重点反映各路段之间的差异性，保证公平性。</w:t>
      </w:r>
    </w:p>
    <w:p w14:paraId="2C744D9D" w14:textId="77777777" w:rsidR="00FD6984" w:rsidRDefault="00000000">
      <w:pPr>
        <w:pStyle w:val="afb"/>
      </w:pPr>
      <w:r>
        <w:rPr>
          <w:noProof/>
        </w:rPr>
        <w:drawing>
          <wp:inline distT="0" distB="0" distL="0" distR="0" wp14:anchorId="3F23ACCA" wp14:editId="56A8A569">
            <wp:extent cx="5233035" cy="1298575"/>
            <wp:effectExtent l="0" t="0" r="5715" b="0"/>
            <wp:docPr id="109435628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356286" name="图片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330507" cy="1322826"/>
                    </a:xfrm>
                    <a:prstGeom prst="rect">
                      <a:avLst/>
                    </a:prstGeom>
                    <a:noFill/>
                  </pic:spPr>
                </pic:pic>
              </a:graphicData>
            </a:graphic>
          </wp:inline>
        </w:drawing>
      </w:r>
    </w:p>
    <w:p w14:paraId="04D23D41" w14:textId="73CD61C4" w:rsidR="00FD6984" w:rsidRDefault="00000000">
      <w:pPr>
        <w:pStyle w:val="a3"/>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CD3467">
        <w:rPr>
          <w:noProof/>
        </w:rPr>
        <w:t>8</w:t>
      </w:r>
      <w:r>
        <w:fldChar w:fldCharType="end"/>
      </w:r>
      <w:r>
        <w:t xml:space="preserve"> </w:t>
      </w:r>
      <w:r>
        <w:rPr>
          <w:rFonts w:hint="eastAsia"/>
        </w:rPr>
        <w:t>车辆碳排放影响因素</w:t>
      </w:r>
    </w:p>
    <w:p w14:paraId="1084A974" w14:textId="77777777" w:rsidR="00FD6984" w:rsidRDefault="00000000">
      <w:pPr>
        <w:ind w:firstLine="420"/>
      </w:pPr>
      <w:r>
        <w:rPr>
          <w:rFonts w:hint="eastAsia"/>
        </w:rPr>
        <w:t>因此，，本标准结合现行标准和既有数据基础，从道路条件、气温、速度、载重（或载客）、空调能耗等方面对基准能源消耗量进行修正得到运行能源消耗量。</w:t>
      </w:r>
    </w:p>
    <w:p w14:paraId="4C657B84" w14:textId="77777777" w:rsidR="00FD6984" w:rsidRDefault="00000000">
      <w:pPr>
        <w:ind w:firstLine="420"/>
      </w:pPr>
      <w:r>
        <w:rPr>
          <w:rFonts w:hint="eastAsia"/>
        </w:rPr>
        <w:t>1</w:t>
      </w:r>
      <w:r>
        <w:rPr>
          <w:rFonts w:hint="eastAsia"/>
        </w:rPr>
        <w:t>）对于基准能源消耗量，本标准中的取值方法来源于国家标准。具体如下：</w:t>
      </w:r>
    </w:p>
    <w:p w14:paraId="6C404F84" w14:textId="77777777" w:rsidR="00FD6984" w:rsidRDefault="00000000">
      <w:pPr>
        <w:ind w:firstLine="420"/>
      </w:pPr>
      <w:r>
        <w:rPr>
          <w:rFonts w:hint="eastAsia"/>
        </w:rPr>
        <w:t>a)</w:t>
      </w:r>
      <w:r>
        <w:rPr>
          <w:rFonts w:hint="eastAsia"/>
        </w:rPr>
        <w:tab/>
      </w:r>
      <w:r>
        <w:rPr>
          <w:rFonts w:hint="eastAsia"/>
        </w:rPr>
        <w:t>对于使用汽油或柴油作为单一燃料的车型，客车基准能耗按照</w:t>
      </w:r>
      <w:r>
        <w:rPr>
          <w:rFonts w:hint="eastAsia"/>
        </w:rPr>
        <w:t>GB/T 4353</w:t>
      </w:r>
      <w:r>
        <w:rPr>
          <w:rFonts w:hint="eastAsia"/>
        </w:rPr>
        <w:t>规定的方法得出；货车基准能耗按照</w:t>
      </w:r>
      <w:r>
        <w:rPr>
          <w:rFonts w:hint="eastAsia"/>
        </w:rPr>
        <w:t>GB/T 4352</w:t>
      </w:r>
      <w:r>
        <w:rPr>
          <w:rFonts w:hint="eastAsia"/>
        </w:rPr>
        <w:t>规定的方法得出。</w:t>
      </w:r>
    </w:p>
    <w:p w14:paraId="7A376F9D" w14:textId="77777777" w:rsidR="00FD6984" w:rsidRDefault="00000000">
      <w:pPr>
        <w:ind w:firstLine="420"/>
      </w:pPr>
      <w:r>
        <w:rPr>
          <w:rFonts w:hint="eastAsia"/>
        </w:rPr>
        <w:lastRenderedPageBreak/>
        <w:t>b)</w:t>
      </w:r>
      <w:r>
        <w:rPr>
          <w:rFonts w:hint="eastAsia"/>
        </w:rPr>
        <w:tab/>
      </w:r>
      <w:r>
        <w:rPr>
          <w:rFonts w:hint="eastAsia"/>
        </w:rPr>
        <w:t>对于纯电动汽车，基准能耗按照</w:t>
      </w:r>
      <w:r>
        <w:rPr>
          <w:rFonts w:hint="eastAsia"/>
        </w:rPr>
        <w:t xml:space="preserve">GB/T 18386 </w:t>
      </w:r>
      <w:r>
        <w:rPr>
          <w:rFonts w:hint="eastAsia"/>
        </w:rPr>
        <w:t>测定的能源消耗量型式认证值得出。</w:t>
      </w:r>
    </w:p>
    <w:p w14:paraId="3BC1D332" w14:textId="77777777" w:rsidR="00FD6984" w:rsidRDefault="00000000">
      <w:pPr>
        <w:ind w:firstLine="420"/>
      </w:pPr>
      <w:r>
        <w:rPr>
          <w:rFonts w:hint="eastAsia"/>
        </w:rPr>
        <w:t>c)</w:t>
      </w:r>
      <w:r>
        <w:rPr>
          <w:rFonts w:hint="eastAsia"/>
        </w:rPr>
        <w:tab/>
      </w:r>
      <w:r>
        <w:rPr>
          <w:rFonts w:hint="eastAsia"/>
        </w:rPr>
        <w:t>对于其他车型，基准能耗按照</w:t>
      </w:r>
      <w:r>
        <w:rPr>
          <w:rFonts w:hint="eastAsia"/>
        </w:rPr>
        <w:t xml:space="preserve">GB 22757 </w:t>
      </w:r>
      <w:r>
        <w:rPr>
          <w:rFonts w:hint="eastAsia"/>
        </w:rPr>
        <w:t>规定的方法得出。</w:t>
      </w:r>
    </w:p>
    <w:p w14:paraId="15CFF411" w14:textId="77777777" w:rsidR="00FD6984" w:rsidRDefault="00000000">
      <w:pPr>
        <w:ind w:firstLine="420"/>
      </w:pPr>
      <w:r>
        <w:rPr>
          <w:rFonts w:hint="eastAsia"/>
        </w:rPr>
        <w:t>在各车型能源消耗量数据无法按上述方法获取的情况下，本文件在附录</w:t>
      </w:r>
      <w:r>
        <w:rPr>
          <w:rFonts w:hint="eastAsia"/>
        </w:rPr>
        <w:t>B</w:t>
      </w:r>
      <w:r>
        <w:rPr>
          <w:rFonts w:hint="eastAsia"/>
        </w:rPr>
        <w:t>中给出了参考值。</w:t>
      </w:r>
    </w:p>
    <w:p w14:paraId="65D2EDEA" w14:textId="77777777" w:rsidR="00FD6984" w:rsidRDefault="00000000">
      <w:pPr>
        <w:ind w:firstLine="420"/>
      </w:pPr>
      <w:r>
        <w:rPr>
          <w:rFonts w:hint="eastAsia"/>
        </w:rPr>
        <w:t>2</w:t>
      </w:r>
      <w:r>
        <w:rPr>
          <w:rFonts w:hint="eastAsia"/>
        </w:rPr>
        <w:t>）化石燃料车型运行能源消耗量的计算方法参考国家标准</w:t>
      </w:r>
      <w:r>
        <w:rPr>
          <w:rFonts w:hint="eastAsia"/>
        </w:rPr>
        <w:t>GB/T 435</w:t>
      </w:r>
      <w:r>
        <w:t xml:space="preserve">2-2022 </w:t>
      </w:r>
      <w:r>
        <w:rPr>
          <w:rFonts w:hint="eastAsia"/>
        </w:rPr>
        <w:t>《载货汽车运行燃料消耗量》和</w:t>
      </w:r>
      <w:r>
        <w:rPr>
          <w:rFonts w:hint="eastAsia"/>
        </w:rPr>
        <w:t xml:space="preserve">GB/T 4353-2022 </w:t>
      </w:r>
      <w:r>
        <w:rPr>
          <w:rFonts w:hint="eastAsia"/>
        </w:rPr>
        <w:t>《载客汽车运行燃料消耗量》，但是暂不考虑载客汽车载客量能耗及车辆空调附加能耗；纯电动车型运行能源消耗量的计算方法与化石燃料车型在计算公式上保持了形式上的类似，但具体计算时，部分参数存在差异。</w:t>
      </w:r>
    </w:p>
    <w:p w14:paraId="67FE1D9F" w14:textId="77777777" w:rsidR="00FD6984" w:rsidRDefault="00000000">
      <w:pPr>
        <w:ind w:firstLine="420"/>
      </w:pPr>
      <w:r>
        <w:t>3</w:t>
      </w:r>
      <w:r>
        <w:rPr>
          <w:rFonts w:hint="eastAsia"/>
        </w:rPr>
        <w:t>）单位</w:t>
      </w:r>
      <w:proofErr w:type="gramStart"/>
      <w:r>
        <w:rPr>
          <w:rFonts w:hint="eastAsia"/>
        </w:rPr>
        <w:t>载质量</w:t>
      </w:r>
      <w:proofErr w:type="gramEnd"/>
      <w:r>
        <w:rPr>
          <w:rFonts w:hint="eastAsia"/>
        </w:rPr>
        <w:t>变化燃料消耗量取值来源于国家标准</w:t>
      </w:r>
      <w:r>
        <w:rPr>
          <w:rFonts w:hint="eastAsia"/>
        </w:rPr>
        <w:t>GB/T 435</w:t>
      </w:r>
      <w:r>
        <w:t>2</w:t>
      </w:r>
      <w:r>
        <w:rPr>
          <w:rFonts w:hint="eastAsia"/>
        </w:rPr>
        <w:t xml:space="preserve">-2022 </w:t>
      </w:r>
      <w:r>
        <w:rPr>
          <w:rFonts w:hint="eastAsia"/>
        </w:rPr>
        <w:t>《载货汽车运行燃料消耗量》；对于纯电动车型，单位</w:t>
      </w:r>
      <w:proofErr w:type="gramStart"/>
      <w:r>
        <w:rPr>
          <w:rFonts w:hint="eastAsia"/>
        </w:rPr>
        <w:t>载质量</w:t>
      </w:r>
      <w:proofErr w:type="gramEnd"/>
      <w:r>
        <w:rPr>
          <w:rFonts w:hint="eastAsia"/>
        </w:rPr>
        <w:t>变化电能消耗量则采取国家标准</w:t>
      </w:r>
      <w:r>
        <w:rPr>
          <w:rFonts w:hint="eastAsia"/>
        </w:rPr>
        <w:t xml:space="preserve">GB/T 37340-2019 </w:t>
      </w:r>
      <w:r>
        <w:rPr>
          <w:rFonts w:hint="eastAsia"/>
        </w:rPr>
        <w:t>《电动汽车能耗折算方法》中</w:t>
      </w:r>
      <w:r>
        <w:rPr>
          <w:rFonts w:hint="eastAsia"/>
        </w:rPr>
        <w:t xml:space="preserve">5.1 </w:t>
      </w:r>
      <w:r>
        <w:rPr>
          <w:rFonts w:hint="eastAsia"/>
        </w:rPr>
        <w:t>介绍的简单折算法进行折算获得。</w:t>
      </w:r>
    </w:p>
    <w:bookmarkEnd w:id="30"/>
    <w:p w14:paraId="1AC34105" w14:textId="77777777" w:rsidR="00FD6984" w:rsidRDefault="00000000">
      <w:pPr>
        <w:ind w:firstLineChars="200" w:firstLine="480"/>
      </w:pPr>
      <w:r>
        <w:t>4</w:t>
      </w:r>
      <w:r>
        <w:rPr>
          <w:rFonts w:hint="eastAsia"/>
        </w:rPr>
        <w:t>）运行条件及修正系数</w:t>
      </w:r>
    </w:p>
    <w:p w14:paraId="4FA211A4" w14:textId="77777777" w:rsidR="00FD6984" w:rsidRDefault="00000000">
      <w:pPr>
        <w:ind w:firstLineChars="200" w:firstLine="480"/>
      </w:pPr>
      <w:r>
        <w:rPr>
          <w:rFonts w:hint="eastAsia"/>
        </w:rPr>
        <w:t>本标准中对于车辆运行能源消耗量的计算，共涉及三项修正系数，分别是道路修正系数、气温修正系数和速度修正系数。</w:t>
      </w:r>
    </w:p>
    <w:p w14:paraId="178B9C98" w14:textId="77777777" w:rsidR="00FD6984" w:rsidRDefault="00000000">
      <w:pPr>
        <w:ind w:firstLineChars="200" w:firstLine="480"/>
      </w:pPr>
      <w:r>
        <w:rPr>
          <w:rFonts w:hint="eastAsia"/>
        </w:rPr>
        <w:t>道路修正系数、气温修正系数均来源于国家标准</w:t>
      </w:r>
      <w:r>
        <w:rPr>
          <w:rFonts w:hint="eastAsia"/>
        </w:rPr>
        <w:t>GB/T 435</w:t>
      </w:r>
      <w:r>
        <w:t>2</w:t>
      </w:r>
      <w:r>
        <w:rPr>
          <w:rFonts w:hint="eastAsia"/>
        </w:rPr>
        <w:t>-2022</w:t>
      </w:r>
      <w:r>
        <w:rPr>
          <w:rFonts w:hint="eastAsia"/>
        </w:rPr>
        <w:t>和</w:t>
      </w:r>
      <w:r>
        <w:rPr>
          <w:rFonts w:hint="eastAsia"/>
        </w:rPr>
        <w:t>GB/T 4353-2022</w:t>
      </w:r>
      <w:r>
        <w:rPr>
          <w:rFonts w:hint="eastAsia"/>
        </w:rPr>
        <w:t>。</w:t>
      </w:r>
    </w:p>
    <w:p w14:paraId="620328CA" w14:textId="77777777" w:rsidR="00FD6984" w:rsidRDefault="00000000">
      <w:pPr>
        <w:ind w:firstLineChars="200" w:firstLine="482"/>
      </w:pPr>
      <w:r>
        <w:rPr>
          <w:rFonts w:hint="eastAsia"/>
          <w:b/>
          <w:bCs/>
        </w:rPr>
        <w:t>速度修正系数在编制标准时考虑了以下</w:t>
      </w:r>
      <w:r>
        <w:rPr>
          <w:rFonts w:hint="eastAsia"/>
          <w:b/>
          <w:bCs/>
        </w:rPr>
        <w:t>3</w:t>
      </w:r>
      <w:r>
        <w:rPr>
          <w:rFonts w:hint="eastAsia"/>
          <w:b/>
          <w:bCs/>
        </w:rPr>
        <w:t>种方式。</w:t>
      </w:r>
    </w:p>
    <w:p w14:paraId="2E40C8B7" w14:textId="77777777" w:rsidR="00FD6984" w:rsidRDefault="00000000">
      <w:pPr>
        <w:ind w:firstLineChars="200" w:firstLine="482"/>
        <w:rPr>
          <w:b/>
          <w:bCs/>
        </w:rPr>
      </w:pPr>
      <w:r>
        <w:rPr>
          <w:rFonts w:hint="eastAsia"/>
          <w:b/>
          <w:bCs/>
        </w:rPr>
        <w:t>①沿用国家标准</w:t>
      </w:r>
      <w:r>
        <w:rPr>
          <w:rFonts w:hint="eastAsia"/>
          <w:b/>
          <w:bCs/>
        </w:rPr>
        <w:t>GB/T 435</w:t>
      </w:r>
      <w:r>
        <w:rPr>
          <w:b/>
          <w:bCs/>
        </w:rPr>
        <w:t>2</w:t>
      </w:r>
      <w:r>
        <w:rPr>
          <w:rFonts w:hint="eastAsia"/>
          <w:b/>
          <w:bCs/>
        </w:rPr>
        <w:t>-2022</w:t>
      </w:r>
      <w:r>
        <w:rPr>
          <w:rFonts w:hint="eastAsia"/>
          <w:b/>
          <w:bCs/>
        </w:rPr>
        <w:t>和</w:t>
      </w:r>
      <w:r>
        <w:rPr>
          <w:rFonts w:hint="eastAsia"/>
          <w:b/>
          <w:bCs/>
        </w:rPr>
        <w:t>GB/T 4353-2022</w:t>
      </w:r>
      <w:r>
        <w:rPr>
          <w:rFonts w:hint="eastAsia"/>
          <w:b/>
          <w:bCs/>
        </w:rPr>
        <w:t>，按表</w:t>
      </w:r>
      <w:r>
        <w:rPr>
          <w:b/>
          <w:bCs/>
        </w:rPr>
        <w:t>10</w:t>
      </w:r>
      <w:r>
        <w:rPr>
          <w:b/>
          <w:bCs/>
        </w:rPr>
        <w:t>；</w:t>
      </w:r>
    </w:p>
    <w:p w14:paraId="0660ED93" w14:textId="2408F373" w:rsidR="00FD6984" w:rsidRDefault="00000000">
      <w:pPr>
        <w:pStyle w:val="a3"/>
        <w:keepNext/>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CD3467">
        <w:rPr>
          <w:noProof/>
        </w:rPr>
        <w:t>10</w:t>
      </w:r>
      <w:r>
        <w:fldChar w:fldCharType="end"/>
      </w:r>
      <w:r>
        <w:t xml:space="preserve"> </w:t>
      </w:r>
      <w:r>
        <w:rPr>
          <w:rFonts w:hint="eastAsia"/>
        </w:rPr>
        <w:t>速度状态及运行能源消耗</w:t>
      </w:r>
      <w:proofErr w:type="gramStart"/>
      <w:r>
        <w:rPr>
          <w:rFonts w:hint="eastAsia"/>
        </w:rPr>
        <w:t>量速度</w:t>
      </w:r>
      <w:proofErr w:type="gramEnd"/>
      <w:r>
        <w:rPr>
          <w:rFonts w:hint="eastAsia"/>
        </w:rPr>
        <w:t>修正系数</w:t>
      </w:r>
    </w:p>
    <w:tbl>
      <w:tblPr>
        <w:tblStyle w:val="ae"/>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807"/>
        <w:gridCol w:w="1035"/>
        <w:gridCol w:w="1292"/>
        <w:gridCol w:w="1548"/>
        <w:gridCol w:w="1420"/>
        <w:gridCol w:w="1420"/>
      </w:tblGrid>
      <w:tr w:rsidR="00FD6984" w14:paraId="6443437C" w14:textId="77777777">
        <w:tc>
          <w:tcPr>
            <w:tcW w:w="1060" w:type="pct"/>
            <w:tcBorders>
              <w:top w:val="single" w:sz="12" w:space="0" w:color="auto"/>
              <w:bottom w:val="single" w:sz="12" w:space="0" w:color="auto"/>
            </w:tcBorders>
            <w:vAlign w:val="center"/>
          </w:tcPr>
          <w:p w14:paraId="4F86D2C1" w14:textId="77777777" w:rsidR="00FD6984" w:rsidRDefault="00000000">
            <w:pPr>
              <w:pStyle w:val="af9"/>
            </w:pPr>
            <w:r>
              <w:rPr>
                <w:rFonts w:hint="eastAsia"/>
              </w:rPr>
              <w:t>区间平均速度（</w:t>
            </w:r>
            <m:oMath>
              <m:r>
                <w:rPr>
                  <w:rFonts w:ascii="Cambria Math" w:hAnsi="Cambria Math"/>
                </w:rPr>
                <m:t>v</m:t>
              </m:r>
            </m:oMath>
            <w:r>
              <w:rPr>
                <w:rFonts w:hint="eastAsia"/>
              </w:rPr>
              <w:t>），单位为千米每小时（</w:t>
            </w:r>
            <w:r>
              <w:rPr>
                <w:rFonts w:hint="eastAsia"/>
              </w:rPr>
              <w:t>km</w:t>
            </w:r>
            <w:r>
              <w:t>/h</w:t>
            </w:r>
            <w:r>
              <w:rPr>
                <w:rFonts w:hint="eastAsia"/>
              </w:rPr>
              <w:t>）</w:t>
            </w:r>
          </w:p>
        </w:tc>
        <w:tc>
          <w:tcPr>
            <w:tcW w:w="607" w:type="pct"/>
            <w:tcBorders>
              <w:top w:val="single" w:sz="12" w:space="0" w:color="auto"/>
              <w:bottom w:val="single" w:sz="12" w:space="0" w:color="auto"/>
            </w:tcBorders>
            <w:vAlign w:val="center"/>
          </w:tcPr>
          <w:p w14:paraId="0250125B" w14:textId="77777777" w:rsidR="00FD6984" w:rsidRDefault="00000000">
            <w:pPr>
              <w:pStyle w:val="af9"/>
            </w:pPr>
            <m:oMathPara>
              <m:oMath>
                <m:r>
                  <w:rPr>
                    <w:rFonts w:ascii="Cambria Math" w:hAnsi="Cambria Math"/>
                  </w:rPr>
                  <m:t>v</m:t>
                </m:r>
                <m:r>
                  <m:rPr>
                    <m:sty m:val="p"/>
                  </m:rPr>
                  <w:rPr>
                    <w:rFonts w:ascii="Cambria Math" w:hAnsi="Cambria Math"/>
                  </w:rPr>
                  <m:t>≤20</m:t>
                </m:r>
              </m:oMath>
            </m:oMathPara>
          </w:p>
        </w:tc>
        <w:tc>
          <w:tcPr>
            <w:tcW w:w="758" w:type="pct"/>
            <w:tcBorders>
              <w:top w:val="single" w:sz="12" w:space="0" w:color="auto"/>
              <w:bottom w:val="single" w:sz="12" w:space="0" w:color="auto"/>
            </w:tcBorders>
            <w:vAlign w:val="center"/>
          </w:tcPr>
          <w:p w14:paraId="54DCD12C" w14:textId="77777777" w:rsidR="00FD6984" w:rsidRDefault="00000000">
            <w:pPr>
              <w:pStyle w:val="af9"/>
            </w:pPr>
            <m:oMathPara>
              <m:oMath>
                <m:r>
                  <m:rPr>
                    <m:sty m:val="p"/>
                  </m:rPr>
                  <w:rPr>
                    <w:rFonts w:ascii="Cambria Math" w:hAnsi="Cambria Math"/>
                  </w:rPr>
                  <m:t>20&lt;</m:t>
                </m:r>
                <m:r>
                  <w:rPr>
                    <w:rFonts w:ascii="Cambria Math" w:hAnsi="Cambria Math"/>
                  </w:rPr>
                  <m:t>v</m:t>
                </m:r>
                <m:r>
                  <m:rPr>
                    <m:sty m:val="p"/>
                  </m:rPr>
                  <w:rPr>
                    <w:rFonts w:ascii="Cambria Math" w:hAnsi="Cambria Math"/>
                  </w:rPr>
                  <m:t>≤30</m:t>
                </m:r>
              </m:oMath>
            </m:oMathPara>
          </w:p>
        </w:tc>
        <w:tc>
          <w:tcPr>
            <w:tcW w:w="908" w:type="pct"/>
            <w:tcBorders>
              <w:top w:val="single" w:sz="12" w:space="0" w:color="auto"/>
              <w:bottom w:val="single" w:sz="12" w:space="0" w:color="auto"/>
            </w:tcBorders>
            <w:vAlign w:val="center"/>
          </w:tcPr>
          <w:p w14:paraId="365173F5" w14:textId="77777777" w:rsidR="00FD6984" w:rsidRDefault="00000000">
            <w:pPr>
              <w:pStyle w:val="af9"/>
            </w:pPr>
            <m:oMathPara>
              <m:oMath>
                <m:r>
                  <m:rPr>
                    <m:sty m:val="p"/>
                  </m:rPr>
                  <w:rPr>
                    <w:rFonts w:ascii="Cambria Math" w:hAnsi="Cambria Math"/>
                  </w:rPr>
                  <m:t>30&lt;</m:t>
                </m:r>
                <m:r>
                  <w:rPr>
                    <w:rFonts w:ascii="Cambria Math" w:hAnsi="Cambria Math"/>
                  </w:rPr>
                  <m:t>v</m:t>
                </m:r>
                <m:r>
                  <m:rPr>
                    <m:sty m:val="p"/>
                  </m:rPr>
                  <w:rPr>
                    <w:rFonts w:ascii="Cambria Math" w:hAnsi="Cambria Math"/>
                  </w:rPr>
                  <m:t>≤40</m:t>
                </m:r>
              </m:oMath>
            </m:oMathPara>
          </w:p>
        </w:tc>
        <w:tc>
          <w:tcPr>
            <w:tcW w:w="833" w:type="pct"/>
            <w:tcBorders>
              <w:top w:val="single" w:sz="12" w:space="0" w:color="auto"/>
              <w:bottom w:val="single" w:sz="12" w:space="0" w:color="auto"/>
            </w:tcBorders>
            <w:vAlign w:val="center"/>
          </w:tcPr>
          <w:p w14:paraId="6DDA48DB" w14:textId="77777777" w:rsidR="00FD6984" w:rsidRDefault="00000000">
            <w:pPr>
              <w:pStyle w:val="af9"/>
            </w:pPr>
            <m:oMathPara>
              <m:oMath>
                <m:r>
                  <m:rPr>
                    <m:sty m:val="p"/>
                  </m:rPr>
                  <w:rPr>
                    <w:rFonts w:ascii="Cambria Math" w:hAnsi="Cambria Math"/>
                  </w:rPr>
                  <m:t>40&lt;</m:t>
                </m:r>
                <m:r>
                  <w:rPr>
                    <w:rFonts w:ascii="Cambria Math" w:hAnsi="Cambria Math"/>
                  </w:rPr>
                  <m:t>v</m:t>
                </m:r>
                <m:r>
                  <m:rPr>
                    <m:sty m:val="p"/>
                  </m:rPr>
                  <w:rPr>
                    <w:rFonts w:ascii="Cambria Math" w:hAnsi="Cambria Math"/>
                  </w:rPr>
                  <m:t>≤50</m:t>
                </m:r>
              </m:oMath>
            </m:oMathPara>
          </w:p>
        </w:tc>
        <w:tc>
          <w:tcPr>
            <w:tcW w:w="833" w:type="pct"/>
            <w:tcBorders>
              <w:top w:val="single" w:sz="12" w:space="0" w:color="auto"/>
              <w:bottom w:val="single" w:sz="12" w:space="0" w:color="auto"/>
            </w:tcBorders>
            <w:vAlign w:val="center"/>
          </w:tcPr>
          <w:p w14:paraId="6A29E501" w14:textId="77777777" w:rsidR="00FD6984" w:rsidRDefault="00000000">
            <w:pPr>
              <w:pStyle w:val="af9"/>
            </w:pPr>
            <m:oMathPara>
              <m:oMath>
                <m:r>
                  <w:rPr>
                    <w:rFonts w:ascii="Cambria Math" w:hAnsi="Cambria Math"/>
                  </w:rPr>
                  <m:t>v</m:t>
                </m:r>
                <m:r>
                  <m:rPr>
                    <m:sty m:val="p"/>
                  </m:rPr>
                  <w:rPr>
                    <w:rFonts w:ascii="Cambria Math" w:hAnsi="Cambria Math"/>
                  </w:rPr>
                  <m:t>&gt;50</m:t>
                </m:r>
              </m:oMath>
            </m:oMathPara>
          </w:p>
        </w:tc>
      </w:tr>
      <w:tr w:rsidR="00FD6984" w14:paraId="7B961056" w14:textId="77777777">
        <w:trPr>
          <w:trHeight w:val="454"/>
        </w:trPr>
        <w:tc>
          <w:tcPr>
            <w:tcW w:w="1060" w:type="pct"/>
            <w:tcBorders>
              <w:top w:val="single" w:sz="12" w:space="0" w:color="auto"/>
            </w:tcBorders>
            <w:vAlign w:val="center"/>
          </w:tcPr>
          <w:p w14:paraId="0380CA03" w14:textId="77777777" w:rsidR="00FD6984" w:rsidRDefault="00000000">
            <w:pPr>
              <w:pStyle w:val="af9"/>
            </w:pPr>
            <m:oMathPara>
              <m:oMath>
                <m:sSub>
                  <m:sSubPr>
                    <m:ctrlPr>
                      <w:rPr>
                        <w:rFonts w:ascii="Cambria Math" w:hAnsi="Cambria Math"/>
                      </w:rPr>
                    </m:ctrlPr>
                  </m:sSubPr>
                  <m:e>
                    <m:r>
                      <w:rPr>
                        <w:rFonts w:ascii="Cambria Math" w:hAnsi="Cambria Math"/>
                      </w:rPr>
                      <m:t>K</m:t>
                    </m:r>
                  </m:e>
                  <m:sub>
                    <m:r>
                      <w:rPr>
                        <w:rFonts w:ascii="Cambria Math" w:hAnsi="Cambria Math"/>
                      </w:rPr>
                      <m:t>v</m:t>
                    </m:r>
                  </m:sub>
                </m:sSub>
              </m:oMath>
            </m:oMathPara>
          </w:p>
        </w:tc>
        <w:tc>
          <w:tcPr>
            <w:tcW w:w="607" w:type="pct"/>
            <w:tcBorders>
              <w:top w:val="single" w:sz="12" w:space="0" w:color="auto"/>
            </w:tcBorders>
            <w:vAlign w:val="center"/>
          </w:tcPr>
          <w:p w14:paraId="5E2B1BF5" w14:textId="77777777" w:rsidR="00FD6984" w:rsidRDefault="00000000">
            <w:pPr>
              <w:pStyle w:val="af9"/>
            </w:pPr>
            <w:r>
              <w:rPr>
                <w:rFonts w:hint="eastAsia"/>
              </w:rPr>
              <w:t>1</w:t>
            </w:r>
            <w:r>
              <w:t>.30</w:t>
            </w:r>
          </w:p>
        </w:tc>
        <w:tc>
          <w:tcPr>
            <w:tcW w:w="758" w:type="pct"/>
            <w:tcBorders>
              <w:top w:val="single" w:sz="12" w:space="0" w:color="auto"/>
            </w:tcBorders>
            <w:vAlign w:val="center"/>
          </w:tcPr>
          <w:p w14:paraId="36DC5DAC" w14:textId="77777777" w:rsidR="00FD6984" w:rsidRDefault="00000000">
            <w:pPr>
              <w:pStyle w:val="af9"/>
            </w:pPr>
            <w:r>
              <w:rPr>
                <w:rFonts w:hint="eastAsia"/>
              </w:rPr>
              <w:t>1</w:t>
            </w:r>
            <w:r>
              <w:t>.15</w:t>
            </w:r>
          </w:p>
        </w:tc>
        <w:tc>
          <w:tcPr>
            <w:tcW w:w="908" w:type="pct"/>
            <w:tcBorders>
              <w:top w:val="single" w:sz="12" w:space="0" w:color="auto"/>
            </w:tcBorders>
            <w:vAlign w:val="center"/>
          </w:tcPr>
          <w:p w14:paraId="3F0256E4" w14:textId="77777777" w:rsidR="00FD6984" w:rsidRDefault="00000000">
            <w:pPr>
              <w:pStyle w:val="af9"/>
            </w:pPr>
            <w:r>
              <w:rPr>
                <w:rFonts w:hint="eastAsia"/>
              </w:rPr>
              <w:t>1</w:t>
            </w:r>
            <w:r>
              <w:t>.00</w:t>
            </w:r>
          </w:p>
        </w:tc>
        <w:tc>
          <w:tcPr>
            <w:tcW w:w="833" w:type="pct"/>
            <w:tcBorders>
              <w:top w:val="single" w:sz="12" w:space="0" w:color="auto"/>
            </w:tcBorders>
            <w:vAlign w:val="center"/>
          </w:tcPr>
          <w:p w14:paraId="57CC46A3" w14:textId="77777777" w:rsidR="00FD6984" w:rsidRDefault="00000000">
            <w:pPr>
              <w:pStyle w:val="af9"/>
            </w:pPr>
            <w:r>
              <w:rPr>
                <w:rFonts w:hint="eastAsia"/>
              </w:rPr>
              <w:t>0</w:t>
            </w:r>
            <w:r>
              <w:t>.90</w:t>
            </w:r>
          </w:p>
        </w:tc>
        <w:tc>
          <w:tcPr>
            <w:tcW w:w="833" w:type="pct"/>
            <w:tcBorders>
              <w:top w:val="single" w:sz="12" w:space="0" w:color="auto"/>
            </w:tcBorders>
            <w:vAlign w:val="center"/>
          </w:tcPr>
          <w:p w14:paraId="52BEC4F0" w14:textId="77777777" w:rsidR="00FD6984" w:rsidRDefault="00000000">
            <w:pPr>
              <w:pStyle w:val="af9"/>
            </w:pPr>
            <w:r>
              <w:rPr>
                <w:rFonts w:hint="eastAsia"/>
              </w:rPr>
              <w:t>0</w:t>
            </w:r>
            <w:r>
              <w:t>.80</w:t>
            </w:r>
          </w:p>
        </w:tc>
      </w:tr>
    </w:tbl>
    <w:p w14:paraId="46FDBBB0" w14:textId="77777777" w:rsidR="00FD6984" w:rsidRDefault="00FD6984">
      <w:pPr>
        <w:ind w:firstLineChars="200" w:firstLine="480"/>
      </w:pPr>
    </w:p>
    <w:p w14:paraId="0F161FF0" w14:textId="77777777" w:rsidR="00FD6984" w:rsidRDefault="00000000">
      <w:pPr>
        <w:ind w:firstLineChars="200" w:firstLine="482"/>
        <w:rPr>
          <w:b/>
          <w:bCs/>
        </w:rPr>
      </w:pPr>
      <w:r>
        <w:rPr>
          <w:rFonts w:hint="eastAsia"/>
          <w:b/>
          <w:bCs/>
        </w:rPr>
        <w:t>②通过拟合确定修正系数与速度的近似函数关系。</w:t>
      </w:r>
    </w:p>
    <w:p w14:paraId="5ED3FB39" w14:textId="77777777" w:rsidR="00FD6984" w:rsidRDefault="00000000">
      <w:pPr>
        <w:ind w:firstLineChars="200" w:firstLine="480"/>
      </w:pPr>
      <w:r>
        <w:rPr>
          <w:rFonts w:hint="eastAsia"/>
        </w:rPr>
        <w:lastRenderedPageBreak/>
        <w:t>不采用国家标准</w:t>
      </w:r>
      <w:r>
        <w:rPr>
          <w:rFonts w:hint="eastAsia"/>
        </w:rPr>
        <w:t>GB/T 435</w:t>
      </w:r>
      <w:r>
        <w:t>2</w:t>
      </w:r>
      <w:r>
        <w:rPr>
          <w:rFonts w:hint="eastAsia"/>
        </w:rPr>
        <w:t>-2022</w:t>
      </w:r>
      <w:r>
        <w:rPr>
          <w:rFonts w:hint="eastAsia"/>
        </w:rPr>
        <w:t>和</w:t>
      </w:r>
      <w:r>
        <w:rPr>
          <w:rFonts w:hint="eastAsia"/>
        </w:rPr>
        <w:t>GB/T 4353-2022</w:t>
      </w:r>
      <w:r>
        <w:rPr>
          <w:rFonts w:hint="eastAsia"/>
        </w:rPr>
        <w:t>，因为其速度区间划分不适用于高速公路工况，不能更好地反映高速公路车辆速度对碳排放的影响。根据国家标准</w:t>
      </w:r>
      <w:r>
        <w:rPr>
          <w:rFonts w:hint="eastAsia"/>
        </w:rPr>
        <w:t>GB/T 435</w:t>
      </w:r>
      <w:r>
        <w:t>2</w:t>
      </w:r>
      <w:r>
        <w:rPr>
          <w:rFonts w:hint="eastAsia"/>
        </w:rPr>
        <w:t>-2022</w:t>
      </w:r>
      <w:r>
        <w:rPr>
          <w:rFonts w:hint="eastAsia"/>
        </w:rPr>
        <w:t>和</w:t>
      </w:r>
      <w:r>
        <w:rPr>
          <w:rFonts w:hint="eastAsia"/>
        </w:rPr>
        <w:t>GB/T 4353-2022</w:t>
      </w:r>
      <w:r>
        <w:rPr>
          <w:rFonts w:hint="eastAsia"/>
        </w:rPr>
        <w:t>中的速度修正系数进行拟合得到化石燃料车型的能耗量修正系数与平均速度的关系，如图</w:t>
      </w:r>
      <w:r>
        <w:t>5</w:t>
      </w:r>
      <w:r>
        <w:rPr>
          <w:rFonts w:hint="eastAsia"/>
        </w:rPr>
        <w:t>所示实线为调整后的修正系数曲线（以</w:t>
      </w:r>
      <w:r>
        <w:rPr>
          <w:rFonts w:hint="eastAsia"/>
        </w:rPr>
        <w:t>4</w:t>
      </w:r>
      <w:r>
        <w:t>0</w:t>
      </w:r>
      <w:r>
        <w:rPr>
          <w:rFonts w:hint="eastAsia"/>
        </w:rPr>
        <w:t>km</w:t>
      </w:r>
      <w:r>
        <w:t>/h</w:t>
      </w:r>
      <w:r>
        <w:rPr>
          <w:rFonts w:hint="eastAsia"/>
        </w:rPr>
        <w:t>为基准）。对化石燃料车型，能耗</w:t>
      </w:r>
      <w:proofErr w:type="gramStart"/>
      <w:r>
        <w:rPr>
          <w:rFonts w:hint="eastAsia"/>
        </w:rPr>
        <w:t>量速度</w:t>
      </w:r>
      <w:proofErr w:type="gramEnd"/>
      <w:r>
        <w:rPr>
          <w:rFonts w:hint="eastAsia"/>
        </w:rPr>
        <w:t>修正系数（</w:t>
      </w:r>
      <m:oMath>
        <m:sSub>
          <m:sSubPr>
            <m:ctrlPr>
              <w:rPr>
                <w:rFonts w:ascii="Cambria Math" w:hAnsi="Cambria Math"/>
                <w:i/>
              </w:rPr>
            </m:ctrlPr>
          </m:sSubPr>
          <m:e>
            <m:r>
              <w:rPr>
                <w:rFonts w:ascii="Cambria Math" w:hAnsi="Cambria Math"/>
              </w:rPr>
              <m:t>K</m:t>
            </m:r>
          </m:e>
          <m:sub>
            <m:r>
              <w:rPr>
                <w:rFonts w:ascii="Cambria Math" w:hAnsi="Cambria Math"/>
              </w:rPr>
              <m:t>v,o</m:t>
            </m:r>
          </m:sub>
        </m:sSub>
      </m:oMath>
      <w:r>
        <w:rPr>
          <w:rFonts w:hint="eastAsia"/>
        </w:rPr>
        <w:t>）按公式（</w:t>
      </w:r>
      <w:r>
        <w:t>4</w:t>
      </w:r>
      <w:r>
        <w:rPr>
          <w:rFonts w:hint="eastAsia"/>
        </w:rPr>
        <w:t>）计算</w:t>
      </w:r>
    </w:p>
    <w:p w14:paraId="2DF12174" w14:textId="2E986664" w:rsidR="00FD6984" w:rsidRDefault="00000000">
      <w:pPr>
        <w:pStyle w:val="af6"/>
        <w:rPr>
          <w:sz w:val="24"/>
          <w:szCs w:val="24"/>
        </w:rPr>
      </w:pPr>
      <w:r>
        <w:rPr>
          <w:rFonts w:ascii="宋体" w:hAnsi="宋体"/>
          <w:sz w:val="24"/>
          <w:szCs w:val="24"/>
        </w:rPr>
        <w:tab/>
      </w:r>
      <m:oMath>
        <m:sSub>
          <m:sSubPr>
            <m:ctrlPr>
              <w:rPr>
                <w:sz w:val="24"/>
                <w:szCs w:val="24"/>
              </w:rPr>
            </m:ctrlPr>
          </m:sSubPr>
          <m:e>
            <m:r>
              <w:rPr>
                <w:sz w:val="24"/>
                <w:szCs w:val="24"/>
              </w:rPr>
              <m:t>K</m:t>
            </m:r>
          </m:e>
          <m:sub>
            <m:r>
              <w:rPr>
                <w:sz w:val="24"/>
                <w:szCs w:val="24"/>
              </w:rPr>
              <m:t>v,o</m:t>
            </m:r>
          </m:sub>
        </m:sSub>
        <m:r>
          <m:rPr>
            <m:sty m:val="p"/>
          </m:rPr>
          <w:rPr>
            <w:sz w:val="24"/>
            <w:szCs w:val="24"/>
          </w:rPr>
          <m:t>=0.0002×</m:t>
        </m:r>
        <m:sSup>
          <m:sSupPr>
            <m:ctrlPr>
              <w:rPr>
                <w:sz w:val="24"/>
                <w:szCs w:val="40"/>
              </w:rPr>
            </m:ctrlPr>
          </m:sSupPr>
          <m:e>
            <m:r>
              <w:rPr>
                <w:rFonts w:hint="eastAsia"/>
                <w:sz w:val="24"/>
                <w:szCs w:val="24"/>
              </w:rPr>
              <m:t>v</m:t>
            </m:r>
          </m:e>
          <m:sup>
            <m:r>
              <m:rPr>
                <m:sty m:val="p"/>
              </m:rPr>
              <w:rPr>
                <w:sz w:val="24"/>
                <w:szCs w:val="24"/>
              </w:rPr>
              <m:t>2</m:t>
            </m:r>
          </m:sup>
        </m:sSup>
        <m:r>
          <m:rPr>
            <m:sty m:val="p"/>
          </m:rPr>
          <w:rPr>
            <w:sz w:val="24"/>
            <w:szCs w:val="24"/>
          </w:rPr>
          <m:t>-0.0339×</m:t>
        </m:r>
        <m:r>
          <w:rPr>
            <w:rFonts w:hint="eastAsia"/>
            <w:sz w:val="24"/>
            <w:szCs w:val="24"/>
          </w:rPr>
          <m:t>v</m:t>
        </m:r>
        <m:r>
          <m:rPr>
            <m:sty m:val="p"/>
          </m:rPr>
          <w:rPr>
            <w:sz w:val="24"/>
            <w:szCs w:val="24"/>
          </w:rPr>
          <m:t>+2.0013</m:t>
        </m:r>
      </m:oMath>
      <w:r>
        <w:rPr>
          <w:rFonts w:ascii="宋体" w:hAnsi="宋体"/>
          <w:sz w:val="24"/>
          <w:szCs w:val="24"/>
        </w:rPr>
        <w:tab/>
      </w:r>
      <w:r>
        <w:rPr>
          <w:rFonts w:ascii="Times New Roman" w:hAnsi="Times New Roman"/>
          <w:sz w:val="24"/>
          <w:szCs w:val="24"/>
        </w:rPr>
        <w:tab/>
      </w:r>
      <w:r>
        <w:rPr>
          <w:rFonts w:ascii="宋体" w:hAnsi="宋体" w:hint="eastAsia"/>
          <w:sz w:val="24"/>
          <w:szCs w:val="24"/>
        </w:rPr>
        <w:t>(</w:t>
      </w:r>
      <w:r>
        <w:rPr>
          <w:rFonts w:ascii="宋体" w:hAnsi="宋体"/>
          <w:sz w:val="24"/>
          <w:szCs w:val="24"/>
        </w:rPr>
        <w:fldChar w:fldCharType="begin"/>
      </w:r>
      <w:r>
        <w:rPr>
          <w:rFonts w:ascii="宋体" w:hAnsi="宋体"/>
          <w:sz w:val="24"/>
          <w:szCs w:val="24"/>
        </w:rPr>
        <w:instrText xml:space="preserve"> </w:instrText>
      </w:r>
      <w:r>
        <w:rPr>
          <w:rFonts w:ascii="宋体" w:hAnsi="宋体" w:hint="eastAsia"/>
          <w:sz w:val="24"/>
          <w:szCs w:val="24"/>
        </w:rPr>
        <w:instrText>SEQ 公式 \* ARABIC</w:instrText>
      </w:r>
      <w:r>
        <w:rPr>
          <w:rFonts w:ascii="宋体" w:hAnsi="宋体"/>
          <w:sz w:val="24"/>
          <w:szCs w:val="24"/>
        </w:rPr>
        <w:instrText xml:space="preserve"> </w:instrText>
      </w:r>
      <w:r>
        <w:rPr>
          <w:rFonts w:ascii="宋体" w:hAnsi="宋体"/>
          <w:sz w:val="24"/>
          <w:szCs w:val="24"/>
        </w:rPr>
        <w:fldChar w:fldCharType="separate"/>
      </w:r>
      <w:r w:rsidR="00CD3467">
        <w:rPr>
          <w:rFonts w:ascii="宋体" w:hAnsi="宋体"/>
          <w:noProof/>
          <w:sz w:val="24"/>
          <w:szCs w:val="24"/>
        </w:rPr>
        <w:t>6</w:t>
      </w:r>
      <w:r>
        <w:rPr>
          <w:rFonts w:ascii="宋体" w:hAnsi="宋体"/>
          <w:sz w:val="24"/>
          <w:szCs w:val="24"/>
        </w:rPr>
        <w:fldChar w:fldCharType="end"/>
      </w:r>
      <w:r>
        <w:rPr>
          <w:sz w:val="24"/>
          <w:szCs w:val="24"/>
        </w:rPr>
        <w:t>)</w:t>
      </w:r>
    </w:p>
    <w:p w14:paraId="2AE9780F" w14:textId="77777777" w:rsidR="00FD6984" w:rsidRDefault="00000000">
      <w:pPr>
        <w:pStyle w:val="af6"/>
        <w:rPr>
          <w:rFonts w:ascii="Times New Roman" w:hAnsi="Times New Roman" w:cstheme="minorBidi"/>
          <w:iCs w:val="0"/>
          <w:sz w:val="24"/>
          <w:szCs w:val="22"/>
        </w:rPr>
      </w:pPr>
      <w:r>
        <w:rPr>
          <w:rFonts w:ascii="Times New Roman" w:hAnsi="Times New Roman" w:cstheme="minorBidi" w:hint="eastAsia"/>
          <w:iCs w:val="0"/>
          <w:sz w:val="24"/>
          <w:szCs w:val="22"/>
        </w:rPr>
        <w:t>式中：</w:t>
      </w:r>
    </w:p>
    <w:p w14:paraId="59AFB34F" w14:textId="77777777" w:rsidR="00FD6984" w:rsidRDefault="00000000">
      <w:pPr>
        <w:pStyle w:val="af6"/>
        <w:rPr>
          <w:rFonts w:ascii="Times New Roman" w:hAnsi="Times New Roman" w:cstheme="minorBidi"/>
          <w:iCs w:val="0"/>
          <w:sz w:val="24"/>
          <w:szCs w:val="22"/>
        </w:rPr>
      </w:pPr>
      <m:oMath>
        <m:sSub>
          <m:sSubPr>
            <m:ctrlPr>
              <w:rPr>
                <w:rFonts w:cstheme="minorBidi"/>
                <w:iCs w:val="0"/>
                <w:sz w:val="24"/>
                <w:szCs w:val="22"/>
              </w:rPr>
            </m:ctrlPr>
          </m:sSubPr>
          <m:e>
            <m:r>
              <w:rPr>
                <w:rFonts w:cstheme="minorBidi"/>
                <w:sz w:val="24"/>
                <w:szCs w:val="22"/>
              </w:rPr>
              <m:t>K</m:t>
            </m:r>
          </m:e>
          <m:sub>
            <m:r>
              <w:rPr>
                <w:rFonts w:cstheme="minorBidi"/>
                <w:sz w:val="24"/>
                <w:szCs w:val="22"/>
              </w:rPr>
              <m:t>v,o</m:t>
            </m:r>
          </m:sub>
        </m:sSub>
      </m:oMath>
      <w:r>
        <w:rPr>
          <w:rFonts w:ascii="Times New Roman" w:hAnsi="Times New Roman" w:cstheme="minorBidi" w:hint="eastAsia"/>
          <w:iCs w:val="0"/>
          <w:sz w:val="24"/>
          <w:szCs w:val="22"/>
        </w:rPr>
        <w:t>——化石燃料车型的能耗量修正系数；</w:t>
      </w:r>
    </w:p>
    <w:p w14:paraId="584A7CFC" w14:textId="77777777" w:rsidR="00FD6984" w:rsidRDefault="00000000">
      <w:pPr>
        <w:pStyle w:val="af6"/>
        <w:rPr>
          <w:rFonts w:ascii="Times New Roman" w:hAnsi="Times New Roman" w:cstheme="minorBidi"/>
          <w:iCs w:val="0"/>
          <w:sz w:val="24"/>
          <w:szCs w:val="22"/>
        </w:rPr>
      </w:pPr>
      <m:oMath>
        <m:r>
          <w:rPr>
            <w:rFonts w:cstheme="minorBidi" w:hint="eastAsia"/>
            <w:sz w:val="24"/>
            <w:szCs w:val="22"/>
          </w:rPr>
          <m:t>v</m:t>
        </m:r>
      </m:oMath>
      <w:r>
        <w:rPr>
          <w:rFonts w:ascii="Times New Roman" w:hAnsi="Times New Roman" w:cstheme="minorBidi" w:hint="eastAsia"/>
          <w:iCs w:val="0"/>
          <w:sz w:val="24"/>
          <w:szCs w:val="22"/>
        </w:rPr>
        <w:t>——车辆平均行驶速度，单位为千米每小时（</w:t>
      </w:r>
      <w:r>
        <w:rPr>
          <w:rFonts w:ascii="Times New Roman" w:hAnsi="Times New Roman" w:cstheme="minorBidi" w:hint="eastAsia"/>
          <w:iCs w:val="0"/>
          <w:sz w:val="24"/>
          <w:szCs w:val="22"/>
        </w:rPr>
        <w:t>k</w:t>
      </w:r>
      <w:r>
        <w:rPr>
          <w:rFonts w:ascii="Times New Roman" w:hAnsi="Times New Roman" w:cstheme="minorBidi"/>
          <w:iCs w:val="0"/>
          <w:sz w:val="24"/>
          <w:szCs w:val="22"/>
        </w:rPr>
        <w:t>m/h</w:t>
      </w:r>
      <w:r>
        <w:rPr>
          <w:rFonts w:ascii="Times New Roman" w:hAnsi="Times New Roman" w:cstheme="minorBidi" w:hint="eastAsia"/>
          <w:iCs w:val="0"/>
          <w:sz w:val="24"/>
          <w:szCs w:val="22"/>
        </w:rPr>
        <w:t>）。</w:t>
      </w:r>
    </w:p>
    <w:p w14:paraId="3CA9BCB8" w14:textId="77777777" w:rsidR="00FD6984" w:rsidRDefault="00FD6984">
      <w:pPr>
        <w:ind w:firstLineChars="200" w:firstLine="480"/>
      </w:pPr>
    </w:p>
    <w:p w14:paraId="56B9AB45" w14:textId="77777777" w:rsidR="00FD6984" w:rsidRDefault="00000000">
      <w:pPr>
        <w:keepNext/>
        <w:jc w:val="center"/>
      </w:pPr>
      <w:r>
        <w:pict w14:anchorId="2BEC5A66">
          <v:shapetype id="_x0000_t32" coordsize="21600,21600" o:spt="32" o:oned="t" path="m,l21600,21600e" filled="f">
            <v:path arrowok="t" fillok="f" o:connecttype="none"/>
            <o:lock v:ext="edit" shapetype="t"/>
          </v:shapetype>
          <v:shape id="直接箭头连接符 1" o:spid="_x0000_s2050" type="#_x0000_t32" style="position:absolute;left:0;text-align:left;margin-left:153pt;margin-top:86.25pt;width:40.5pt;height:37.5pt;flip:y;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" strokecolor="#ed7d31" strokeweight=".5pt">
            <v:stroke endarrow="block" joinstyle="miter"/>
          </v:shape>
        </w:pict>
      </w:r>
      <w:r>
        <w:rPr>
          <w:noProof/>
        </w:rPr>
        <w:drawing>
          <wp:inline distT="0" distB="0" distL="0" distR="0" wp14:anchorId="1EDE99CB" wp14:editId="0D068230">
            <wp:extent cx="5007610" cy="4391660"/>
            <wp:effectExtent l="0" t="0" r="0" b="0"/>
            <wp:docPr id="203948770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554B6D9" w14:textId="3212EF56" w:rsidR="00FD6984" w:rsidRDefault="00000000">
      <w:pPr>
        <w:pStyle w:val="a3"/>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CD3467">
        <w:rPr>
          <w:noProof/>
        </w:rPr>
        <w:t>9</w:t>
      </w:r>
      <w:r>
        <w:fldChar w:fldCharType="end"/>
      </w:r>
      <w:r>
        <w:t xml:space="preserve"> </w:t>
      </w:r>
      <w:r>
        <w:rPr>
          <w:rFonts w:hint="eastAsia"/>
        </w:rPr>
        <w:t>化石燃料车型的能耗量修正系数拟合</w:t>
      </w:r>
    </w:p>
    <w:p w14:paraId="3DF77AB9" w14:textId="77777777" w:rsidR="00FD6984" w:rsidRDefault="00000000">
      <w:pPr>
        <w:ind w:firstLineChars="200" w:firstLine="480"/>
      </w:pPr>
      <w:r>
        <w:rPr>
          <w:rFonts w:hint="eastAsia"/>
        </w:rPr>
        <w:lastRenderedPageBreak/>
        <w:t>根据王志红等人的实验数据（论文：轻型汽油车与纯电动汽车碳排放量比较研究，汽车工程学报，</w:t>
      </w:r>
      <w:r>
        <w:rPr>
          <w:rFonts w:hint="eastAsia"/>
        </w:rPr>
        <w:t>2</w:t>
      </w:r>
      <w:r>
        <w:t>022</w:t>
      </w:r>
      <w:r>
        <w:rPr>
          <w:rFonts w:hint="eastAsia"/>
        </w:rPr>
        <w:t>）拟合得到纯电动车型</w:t>
      </w:r>
      <w:proofErr w:type="gramStart"/>
      <w:r>
        <w:rPr>
          <w:rFonts w:hint="eastAsia"/>
        </w:rPr>
        <w:t>百公里</w:t>
      </w:r>
      <w:proofErr w:type="gramEnd"/>
      <w:r>
        <w:rPr>
          <w:rFonts w:hint="eastAsia"/>
        </w:rPr>
        <w:t>电耗与车速的关系，如图</w:t>
      </w:r>
      <w:r>
        <w:rPr>
          <w:rFonts w:hint="eastAsia"/>
        </w:rPr>
        <w:t>2</w:t>
      </w:r>
      <w:r>
        <w:rPr>
          <w:rFonts w:hint="eastAsia"/>
        </w:rPr>
        <w:t>所示。以</w:t>
      </w:r>
      <w:r>
        <w:rPr>
          <w:rFonts w:hint="eastAsia"/>
        </w:rPr>
        <w:t>4</w:t>
      </w:r>
      <w:r>
        <w:t>0</w:t>
      </w:r>
      <w:r>
        <w:rPr>
          <w:rFonts w:hint="eastAsia"/>
        </w:rPr>
        <w:t>km</w:t>
      </w:r>
      <w:r>
        <w:t>/h</w:t>
      </w:r>
      <w:r>
        <w:rPr>
          <w:rFonts w:hint="eastAsia"/>
        </w:rPr>
        <w:t>为基准，得到纯电动车型的能耗</w:t>
      </w:r>
      <w:proofErr w:type="gramStart"/>
      <w:r>
        <w:rPr>
          <w:rFonts w:hint="eastAsia"/>
        </w:rPr>
        <w:t>量速度</w:t>
      </w:r>
      <w:proofErr w:type="gramEnd"/>
      <w:r>
        <w:rPr>
          <w:rFonts w:hint="eastAsia"/>
        </w:rPr>
        <w:t>修正系数与车速的关系如下公式（</w:t>
      </w:r>
      <w:r>
        <w:t>5</w:t>
      </w:r>
      <w:r>
        <w:rPr>
          <w:rFonts w:hint="eastAsia"/>
        </w:rPr>
        <w:t>）：</w:t>
      </w:r>
    </w:p>
    <w:p w14:paraId="5A2BE784" w14:textId="7B65C1B9" w:rsidR="00FD6984" w:rsidRDefault="00000000">
      <w:pPr>
        <w:pStyle w:val="af6"/>
        <w:rPr>
          <w:sz w:val="24"/>
          <w:szCs w:val="24"/>
        </w:rPr>
      </w:pPr>
      <w:r>
        <w:rPr>
          <w:rFonts w:ascii="宋体" w:hAnsi="宋体"/>
          <w:sz w:val="24"/>
          <w:szCs w:val="24"/>
        </w:rPr>
        <w:tab/>
      </w:r>
      <w:bookmarkStart w:id="31" w:name="_Ref169876080"/>
      <m:oMath>
        <m:sSub>
          <m:sSubPr>
            <m:ctrlPr>
              <w:rPr>
                <w:sz w:val="24"/>
                <w:szCs w:val="24"/>
              </w:rPr>
            </m:ctrlPr>
          </m:sSubPr>
          <m:e>
            <m:r>
              <w:rPr>
                <w:sz w:val="24"/>
                <w:szCs w:val="24"/>
              </w:rPr>
              <m:t>K</m:t>
            </m:r>
          </m:e>
          <m:sub>
            <m:r>
              <w:rPr>
                <w:sz w:val="24"/>
                <w:szCs w:val="24"/>
              </w:rPr>
              <m:t>v,e</m:t>
            </m:r>
          </m:sub>
        </m:sSub>
        <m:r>
          <m:rPr>
            <m:sty m:val="p"/>
          </m:rPr>
          <w:rPr>
            <w:sz w:val="24"/>
            <w:szCs w:val="24"/>
          </w:rPr>
          <m:t>=0.000</m:t>
        </m:r>
        <m:r>
          <w:rPr>
            <w:sz w:val="24"/>
            <w:szCs w:val="24"/>
          </w:rPr>
          <m:t>3</m:t>
        </m:r>
        <m:r>
          <m:rPr>
            <m:sty m:val="p"/>
          </m:rPr>
          <w:rPr>
            <w:sz w:val="24"/>
            <w:szCs w:val="24"/>
          </w:rPr>
          <m:t>×</m:t>
        </m:r>
        <m:sSup>
          <m:sSupPr>
            <m:ctrlPr>
              <w:rPr>
                <w:sz w:val="24"/>
                <w:szCs w:val="32"/>
              </w:rPr>
            </m:ctrlPr>
          </m:sSupPr>
          <m:e>
            <m:r>
              <w:rPr>
                <w:rFonts w:hint="eastAsia"/>
                <w:sz w:val="24"/>
                <w:szCs w:val="24"/>
              </w:rPr>
              <m:t>v</m:t>
            </m:r>
          </m:e>
          <m:sup>
            <m:r>
              <m:rPr>
                <m:sty m:val="p"/>
              </m:rPr>
              <w:rPr>
                <w:sz w:val="24"/>
                <w:szCs w:val="24"/>
              </w:rPr>
              <m:t>2</m:t>
            </m:r>
          </m:sup>
        </m:sSup>
        <m:r>
          <m:rPr>
            <m:sty m:val="p"/>
          </m:rPr>
          <w:rPr>
            <w:sz w:val="24"/>
            <w:szCs w:val="24"/>
          </w:rPr>
          <m:t>-0.0</m:t>
        </m:r>
        <m:r>
          <w:rPr>
            <w:sz w:val="24"/>
            <w:szCs w:val="24"/>
          </w:rPr>
          <m:t>402</m:t>
        </m:r>
        <m:r>
          <m:rPr>
            <m:sty m:val="p"/>
          </m:rPr>
          <w:rPr>
            <w:sz w:val="24"/>
            <w:szCs w:val="24"/>
          </w:rPr>
          <m:t>×</m:t>
        </m:r>
        <m:r>
          <w:rPr>
            <w:rFonts w:hint="eastAsia"/>
            <w:sz w:val="24"/>
            <w:szCs w:val="24"/>
          </w:rPr>
          <m:t>v</m:t>
        </m:r>
        <m:r>
          <m:rPr>
            <m:sty m:val="p"/>
          </m:rPr>
          <w:rPr>
            <w:sz w:val="24"/>
            <w:szCs w:val="24"/>
          </w:rPr>
          <m:t>+2.</m:t>
        </m:r>
        <m:r>
          <w:rPr>
            <w:sz w:val="24"/>
            <w:szCs w:val="24"/>
          </w:rPr>
          <m:t>1450</m:t>
        </m:r>
      </m:oMath>
      <w:r>
        <w:rPr>
          <w:rFonts w:ascii="宋体" w:hAnsi="宋体"/>
          <w:sz w:val="24"/>
          <w:szCs w:val="24"/>
        </w:rPr>
        <w:tab/>
      </w:r>
      <w:r>
        <w:rPr>
          <w:rFonts w:ascii="Times New Roman" w:hAnsi="Times New Roman"/>
          <w:sz w:val="24"/>
          <w:szCs w:val="24"/>
        </w:rPr>
        <w:tab/>
      </w:r>
      <w:r>
        <w:rPr>
          <w:rFonts w:ascii="宋体" w:hAnsi="宋体"/>
          <w:sz w:val="24"/>
          <w:szCs w:val="24"/>
        </w:rPr>
        <w:t>(</w:t>
      </w:r>
      <w:r>
        <w:rPr>
          <w:rFonts w:ascii="宋体" w:hAnsi="宋体"/>
          <w:sz w:val="24"/>
          <w:szCs w:val="24"/>
        </w:rPr>
        <w:fldChar w:fldCharType="begin"/>
      </w:r>
      <w:r>
        <w:rPr>
          <w:rFonts w:ascii="宋体" w:hAnsi="宋体"/>
          <w:sz w:val="24"/>
          <w:szCs w:val="24"/>
        </w:rPr>
        <w:instrText xml:space="preserve"> SEQ 公式 \* ARABIC </w:instrText>
      </w:r>
      <w:r>
        <w:rPr>
          <w:rFonts w:ascii="宋体" w:hAnsi="宋体"/>
          <w:sz w:val="24"/>
          <w:szCs w:val="24"/>
        </w:rPr>
        <w:fldChar w:fldCharType="separate"/>
      </w:r>
      <w:r w:rsidR="00CD3467">
        <w:rPr>
          <w:rFonts w:ascii="宋体" w:hAnsi="宋体"/>
          <w:noProof/>
          <w:sz w:val="24"/>
          <w:szCs w:val="24"/>
        </w:rPr>
        <w:t>7</w:t>
      </w:r>
      <w:r>
        <w:rPr>
          <w:rFonts w:ascii="宋体" w:hAnsi="宋体"/>
          <w:sz w:val="24"/>
          <w:szCs w:val="24"/>
        </w:rPr>
        <w:fldChar w:fldCharType="end"/>
      </w:r>
      <w:bookmarkEnd w:id="31"/>
      <w:r>
        <w:rPr>
          <w:sz w:val="24"/>
          <w:szCs w:val="24"/>
        </w:rPr>
        <w:t>)</w:t>
      </w:r>
    </w:p>
    <w:p w14:paraId="3165A73A" w14:textId="77777777" w:rsidR="00FD6984" w:rsidRDefault="00000000">
      <w:pPr>
        <w:pStyle w:val="af6"/>
        <w:rPr>
          <w:rFonts w:ascii="Times New Roman" w:hAnsi="Times New Roman" w:cstheme="minorBidi"/>
          <w:iCs w:val="0"/>
          <w:sz w:val="24"/>
          <w:szCs w:val="22"/>
        </w:rPr>
      </w:pPr>
      <w:r>
        <w:rPr>
          <w:rFonts w:ascii="Times New Roman" w:hAnsi="Times New Roman" w:cstheme="minorBidi" w:hint="eastAsia"/>
          <w:iCs w:val="0"/>
          <w:sz w:val="24"/>
          <w:szCs w:val="22"/>
        </w:rPr>
        <w:t>式中：</w:t>
      </w:r>
    </w:p>
    <w:p w14:paraId="23CD19F7" w14:textId="77777777" w:rsidR="00FD6984" w:rsidRDefault="00000000">
      <w:pPr>
        <w:pStyle w:val="af6"/>
        <w:rPr>
          <w:rFonts w:ascii="Times New Roman" w:hAnsi="Times New Roman" w:cstheme="minorBidi"/>
          <w:iCs w:val="0"/>
          <w:sz w:val="24"/>
          <w:szCs w:val="22"/>
        </w:rPr>
      </w:pPr>
      <m:oMath>
        <m:sSub>
          <m:sSubPr>
            <m:ctrlPr>
              <w:rPr>
                <w:rFonts w:cstheme="minorBidi"/>
                <w:iCs w:val="0"/>
                <w:sz w:val="24"/>
                <w:szCs w:val="22"/>
              </w:rPr>
            </m:ctrlPr>
          </m:sSubPr>
          <m:e>
            <m:r>
              <w:rPr>
                <w:rFonts w:cstheme="minorBidi"/>
                <w:sz w:val="24"/>
                <w:szCs w:val="22"/>
              </w:rPr>
              <m:t>K</m:t>
            </m:r>
          </m:e>
          <m:sub>
            <m:r>
              <w:rPr>
                <w:rFonts w:cstheme="minorBidi"/>
                <w:sz w:val="24"/>
                <w:szCs w:val="22"/>
              </w:rPr>
              <m:t>v,e</m:t>
            </m:r>
          </m:sub>
        </m:sSub>
      </m:oMath>
      <w:r>
        <w:rPr>
          <w:rFonts w:ascii="Times New Roman" w:hAnsi="Times New Roman" w:cstheme="minorBidi" w:hint="eastAsia"/>
          <w:iCs w:val="0"/>
          <w:sz w:val="24"/>
          <w:szCs w:val="22"/>
        </w:rPr>
        <w:t>——纯电动车型的能耗量修正系数；</w:t>
      </w:r>
    </w:p>
    <w:p w14:paraId="064C7D9D" w14:textId="77777777" w:rsidR="00FD6984" w:rsidRDefault="00000000">
      <w:pPr>
        <w:pStyle w:val="af6"/>
        <w:rPr>
          <w:rFonts w:ascii="Times New Roman" w:hAnsi="Times New Roman" w:cstheme="minorBidi"/>
          <w:iCs w:val="0"/>
          <w:sz w:val="24"/>
          <w:szCs w:val="22"/>
        </w:rPr>
      </w:pPr>
      <m:oMath>
        <m:r>
          <w:rPr>
            <w:rFonts w:cstheme="minorBidi" w:hint="eastAsia"/>
            <w:sz w:val="24"/>
            <w:szCs w:val="22"/>
          </w:rPr>
          <m:t>v</m:t>
        </m:r>
      </m:oMath>
      <w:r>
        <w:rPr>
          <w:rFonts w:ascii="Times New Roman" w:hAnsi="Times New Roman" w:cstheme="minorBidi" w:hint="eastAsia"/>
          <w:iCs w:val="0"/>
          <w:sz w:val="24"/>
          <w:szCs w:val="22"/>
        </w:rPr>
        <w:t>——车辆平均行驶速度，单位为千米每小时（</w:t>
      </w:r>
      <w:r>
        <w:rPr>
          <w:rFonts w:ascii="Times New Roman" w:hAnsi="Times New Roman" w:cstheme="minorBidi" w:hint="eastAsia"/>
          <w:iCs w:val="0"/>
          <w:sz w:val="24"/>
          <w:szCs w:val="22"/>
        </w:rPr>
        <w:t>k</w:t>
      </w:r>
      <w:r>
        <w:rPr>
          <w:rFonts w:ascii="Times New Roman" w:hAnsi="Times New Roman" w:cstheme="minorBidi"/>
          <w:iCs w:val="0"/>
          <w:sz w:val="24"/>
          <w:szCs w:val="22"/>
        </w:rPr>
        <w:t>m/h</w:t>
      </w:r>
      <w:r>
        <w:rPr>
          <w:rFonts w:ascii="Times New Roman" w:hAnsi="Times New Roman" w:cstheme="minorBidi" w:hint="eastAsia"/>
          <w:iCs w:val="0"/>
          <w:sz w:val="24"/>
          <w:szCs w:val="22"/>
        </w:rPr>
        <w:t>）。</w:t>
      </w:r>
    </w:p>
    <w:p w14:paraId="3F7BA263" w14:textId="77777777" w:rsidR="00FD6984" w:rsidRDefault="00000000">
      <w:pPr>
        <w:ind w:firstLineChars="200" w:firstLine="480"/>
      </w:pPr>
      <w:r>
        <w:rPr>
          <w:rFonts w:hint="eastAsia"/>
        </w:rPr>
        <w:t>如图</w:t>
      </w:r>
      <w:r>
        <w:rPr>
          <w:rFonts w:hint="eastAsia"/>
        </w:rPr>
        <w:t>3</w:t>
      </w:r>
      <w:r>
        <w:rPr>
          <w:rFonts w:hint="eastAsia"/>
        </w:rPr>
        <w:t>所示是化石燃料车型与纯电动车型的能耗</w:t>
      </w:r>
      <w:proofErr w:type="gramStart"/>
      <w:r>
        <w:rPr>
          <w:rFonts w:hint="eastAsia"/>
        </w:rPr>
        <w:t>量速度</w:t>
      </w:r>
      <w:proofErr w:type="gramEnd"/>
      <w:r>
        <w:rPr>
          <w:rFonts w:hint="eastAsia"/>
        </w:rPr>
        <w:t>修正系数。纯电动车型的经济时速位于化石燃料车型的左侧，纯电动车型在高速阶段耗电量剧增，燃油车型在高速阶段耗油量增速较缓，这两条拟合曲线基本符合目前对燃油车和纯电动车的能耗特征规律的认识。</w:t>
      </w:r>
    </w:p>
    <w:p w14:paraId="05118C35" w14:textId="77777777" w:rsidR="00FD6984" w:rsidRDefault="00000000">
      <w:pPr>
        <w:keepNext/>
        <w:ind w:firstLineChars="200" w:firstLine="480"/>
      </w:pPr>
      <w:r>
        <w:rPr>
          <w:noProof/>
        </w:rPr>
        <w:drawing>
          <wp:inline distT="0" distB="0" distL="0" distR="0" wp14:anchorId="1D42674B" wp14:editId="4DBD10C0">
            <wp:extent cx="4762500" cy="3488055"/>
            <wp:effectExtent l="0" t="0" r="0" b="0"/>
            <wp:docPr id="122546102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D3C715F" w14:textId="318D5F18" w:rsidR="00FD6984" w:rsidRDefault="00000000">
      <w:pPr>
        <w:pStyle w:val="a3"/>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CD3467">
        <w:rPr>
          <w:noProof/>
        </w:rPr>
        <w:t>10</w:t>
      </w:r>
      <w:r>
        <w:fldChar w:fldCharType="end"/>
      </w:r>
      <w:r>
        <w:t xml:space="preserve"> </w:t>
      </w:r>
      <w:r>
        <w:rPr>
          <w:rFonts w:hint="eastAsia"/>
        </w:rPr>
        <w:t>纯电动车型</w:t>
      </w:r>
      <w:proofErr w:type="gramStart"/>
      <w:r>
        <w:rPr>
          <w:rFonts w:hint="eastAsia"/>
        </w:rPr>
        <w:t>百公里</w:t>
      </w:r>
      <w:proofErr w:type="gramEnd"/>
      <w:r>
        <w:rPr>
          <w:rFonts w:hint="eastAsia"/>
        </w:rPr>
        <w:t>电耗与速度的拟合关系</w:t>
      </w:r>
    </w:p>
    <w:p w14:paraId="62D6121E" w14:textId="77777777" w:rsidR="00FD6984" w:rsidRDefault="00000000">
      <w:pPr>
        <w:keepNext/>
        <w:jc w:val="center"/>
      </w:pPr>
      <w:r>
        <w:rPr>
          <w:noProof/>
        </w:rPr>
        <w:lastRenderedPageBreak/>
        <w:drawing>
          <wp:inline distT="0" distB="0" distL="0" distR="0" wp14:anchorId="5983100D" wp14:editId="6938811F">
            <wp:extent cx="4399280" cy="3105150"/>
            <wp:effectExtent l="0" t="0" r="0" b="0"/>
            <wp:docPr id="12201451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981E31D" w14:textId="5A920D1B" w:rsidR="00FD6984" w:rsidRDefault="00000000">
      <w:pPr>
        <w:pStyle w:val="a3"/>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CD3467">
        <w:rPr>
          <w:noProof/>
        </w:rPr>
        <w:t>11</w:t>
      </w:r>
      <w:r>
        <w:fldChar w:fldCharType="end"/>
      </w:r>
      <w:r>
        <w:t xml:space="preserve"> </w:t>
      </w:r>
      <w:r>
        <w:rPr>
          <w:rFonts w:hint="eastAsia"/>
        </w:rPr>
        <w:t>化石燃料车型和纯电动车型的能耗</w:t>
      </w:r>
      <w:proofErr w:type="gramStart"/>
      <w:r>
        <w:rPr>
          <w:rFonts w:hint="eastAsia"/>
        </w:rPr>
        <w:t>量速度</w:t>
      </w:r>
      <w:proofErr w:type="gramEnd"/>
      <w:r>
        <w:rPr>
          <w:rFonts w:hint="eastAsia"/>
        </w:rPr>
        <w:t>修正系数</w:t>
      </w:r>
    </w:p>
    <w:p w14:paraId="16F29DB0" w14:textId="77777777" w:rsidR="00FD6984" w:rsidRDefault="00000000">
      <w:pPr>
        <w:ind w:firstLineChars="200" w:firstLine="482"/>
        <w:rPr>
          <w:b/>
          <w:bCs/>
        </w:rPr>
      </w:pPr>
      <w:r>
        <w:rPr>
          <w:rFonts w:hint="eastAsia"/>
          <w:b/>
          <w:bCs/>
        </w:rPr>
        <w:t>③基于拟合函数和插值法补充速度区间及修正系数。</w:t>
      </w:r>
    </w:p>
    <w:p w14:paraId="74982DB8" w14:textId="14E68FC9" w:rsidR="00FD6984" w:rsidRDefault="00000000">
      <w:pPr>
        <w:ind w:firstLineChars="200" w:firstLine="480"/>
      </w:pPr>
      <w:r>
        <w:rPr>
          <w:rFonts w:hint="eastAsia"/>
        </w:rPr>
        <w:t>考虑到国家标准</w:t>
      </w:r>
      <w:r>
        <w:rPr>
          <w:rFonts w:hint="eastAsia"/>
        </w:rPr>
        <w:t>GB/T 435</w:t>
      </w:r>
      <w:r>
        <w:t>2</w:t>
      </w:r>
      <w:r>
        <w:rPr>
          <w:rFonts w:hint="eastAsia"/>
        </w:rPr>
        <w:t>-2022</w:t>
      </w:r>
      <w:r>
        <w:rPr>
          <w:rFonts w:hint="eastAsia"/>
        </w:rPr>
        <w:t>和</w:t>
      </w:r>
      <w:r>
        <w:rPr>
          <w:rFonts w:hint="eastAsia"/>
        </w:rPr>
        <w:t>GB/T 4353-2022</w:t>
      </w:r>
      <w:r>
        <w:rPr>
          <w:rFonts w:hint="eastAsia"/>
        </w:rPr>
        <w:t>的速度区间划分在高速范围内区分度差，不能更好地反映高速公路车辆速度对碳排放的影响，对速度区间进行外推。具体来说，结合高速公路最高限速值（</w:t>
      </w:r>
      <w:r>
        <w:rPr>
          <w:rFonts w:hint="eastAsia"/>
        </w:rPr>
        <w:t>120km/h</w:t>
      </w:r>
      <w:r>
        <w:rPr>
          <w:rFonts w:hint="eastAsia"/>
        </w:rPr>
        <w:t>），确定外推的速度区间控制在</w:t>
      </w:r>
      <w:r>
        <w:rPr>
          <w:rFonts w:hint="eastAsia"/>
        </w:rPr>
        <w:t>50km/h~120km/h</w:t>
      </w:r>
      <w:r>
        <w:rPr>
          <w:rFonts w:hint="eastAsia"/>
        </w:rPr>
        <w:t>，经过多次试算调整，将</w:t>
      </w:r>
      <w:r>
        <w:rPr>
          <w:rFonts w:hint="eastAsia"/>
        </w:rPr>
        <w:t>50km/h~120km/h</w:t>
      </w:r>
      <w:r>
        <w:rPr>
          <w:rFonts w:hint="eastAsia"/>
        </w:rPr>
        <w:t>这一区间划分为</w:t>
      </w:r>
      <w:r>
        <w:rPr>
          <w:rFonts w:hint="eastAsia"/>
        </w:rPr>
        <w:t>4</w:t>
      </w:r>
      <w:r>
        <w:rPr>
          <w:rFonts w:hint="eastAsia"/>
        </w:rPr>
        <w:t>段，分别是（</w:t>
      </w:r>
      <w:r>
        <w:rPr>
          <w:rFonts w:hint="eastAsia"/>
        </w:rPr>
        <w:t>50,70]</w:t>
      </w:r>
      <w:r>
        <w:rPr>
          <w:rFonts w:hint="eastAsia"/>
        </w:rPr>
        <w:t>、（</w:t>
      </w:r>
      <w:r>
        <w:rPr>
          <w:rFonts w:hint="eastAsia"/>
        </w:rPr>
        <w:t>70,90]</w:t>
      </w:r>
      <w:r>
        <w:rPr>
          <w:rFonts w:hint="eastAsia"/>
        </w:rPr>
        <w:t>、（</w:t>
      </w:r>
      <w:r>
        <w:rPr>
          <w:rFonts w:hint="eastAsia"/>
        </w:rPr>
        <w:t>90,110]</w:t>
      </w:r>
      <w:r>
        <w:rPr>
          <w:rFonts w:hint="eastAsia"/>
        </w:rPr>
        <w:t>、（</w:t>
      </w:r>
      <w:r>
        <w:rPr>
          <w:rFonts w:hint="eastAsia"/>
        </w:rPr>
        <w:t>110,120]</w:t>
      </w:r>
      <w:r>
        <w:rPr>
          <w:rFonts w:hint="eastAsia"/>
        </w:rPr>
        <w:t>。基于拟合关系公式（</w:t>
      </w:r>
      <w:r>
        <w:rPr>
          <w:rFonts w:hint="eastAsia"/>
        </w:rPr>
        <w:t>6</w:t>
      </w:r>
      <w:r>
        <w:rPr>
          <w:rFonts w:hint="eastAsia"/>
        </w:rPr>
        <w:t>）</w:t>
      </w:r>
      <w:r w:rsidR="00056CF0">
        <w:rPr>
          <w:rFonts w:hint="eastAsia"/>
        </w:rPr>
        <w:t>和（</w:t>
      </w:r>
      <w:r w:rsidR="00056CF0">
        <w:rPr>
          <w:rFonts w:hint="eastAsia"/>
        </w:rPr>
        <w:t>7</w:t>
      </w:r>
      <w:r w:rsidR="00056CF0">
        <w:rPr>
          <w:rFonts w:hint="eastAsia"/>
        </w:rPr>
        <w:t>）</w:t>
      </w:r>
      <w:r w:rsidR="00056CF0">
        <w:fldChar w:fldCharType="begin"/>
      </w:r>
      <w:r w:rsidR="00056CF0">
        <w:instrText xml:space="preserve"> </w:instrText>
      </w:r>
      <w:r w:rsidR="00056CF0">
        <w:rPr>
          <w:rFonts w:hint="eastAsia"/>
        </w:rPr>
        <w:instrText>REF _Ref169876080 \h</w:instrText>
      </w:r>
      <w:r w:rsidR="00056CF0">
        <w:instrText xml:space="preserve"> </w:instrText>
      </w:r>
      <w:r w:rsidR="00056CF0">
        <w:fldChar w:fldCharType="separate"/>
      </w:r>
      <w:r w:rsidR="00056CF0">
        <w:fldChar w:fldCharType="end"/>
      </w:r>
      <w:r>
        <w:rPr>
          <w:rFonts w:hint="eastAsia"/>
        </w:rPr>
        <w:t>采用计算最终得到</w:t>
      </w:r>
      <w:r>
        <w:fldChar w:fldCharType="begin"/>
      </w:r>
      <w:r>
        <w:instrText xml:space="preserve"> </w:instrText>
      </w:r>
      <w:r>
        <w:rPr>
          <w:rFonts w:hint="eastAsia"/>
        </w:rPr>
        <w:instrText>REF _Ref168476258 \h</w:instrText>
      </w:r>
      <w:r>
        <w:instrText xml:space="preserve"> </w:instrText>
      </w:r>
      <w:r>
        <w:fldChar w:fldCharType="separate"/>
      </w:r>
      <w:r w:rsidR="00CD3467">
        <w:rPr>
          <w:rFonts w:hint="eastAsia"/>
        </w:rPr>
        <w:t>表</w:t>
      </w:r>
      <w:r w:rsidR="00CD3467">
        <w:rPr>
          <w:rFonts w:hint="eastAsia"/>
        </w:rPr>
        <w:t xml:space="preserve"> </w:t>
      </w:r>
      <w:r w:rsidR="00CD3467">
        <w:rPr>
          <w:noProof/>
        </w:rPr>
        <w:t>11</w:t>
      </w:r>
      <w:r>
        <w:fldChar w:fldCharType="end"/>
      </w:r>
      <w:r>
        <w:rPr>
          <w:rFonts w:hint="eastAsia"/>
        </w:rPr>
        <w:t>和</w:t>
      </w:r>
      <w:r w:rsidR="00CD3467">
        <w:fldChar w:fldCharType="begin"/>
      </w:r>
      <w:r w:rsidR="00CD3467">
        <w:instrText xml:space="preserve"> </w:instrText>
      </w:r>
      <w:r w:rsidR="00CD3467">
        <w:rPr>
          <w:rFonts w:hint="eastAsia"/>
        </w:rPr>
        <w:instrText>REF _Ref169876073 \h</w:instrText>
      </w:r>
      <w:r w:rsidR="00CD3467">
        <w:instrText xml:space="preserve"> </w:instrText>
      </w:r>
      <w:r w:rsidR="00CD3467">
        <w:fldChar w:fldCharType="separate"/>
      </w:r>
      <w:r w:rsidR="00CD3467">
        <w:rPr>
          <w:rFonts w:hint="eastAsia"/>
        </w:rPr>
        <w:t>表</w:t>
      </w:r>
      <w:r w:rsidR="00CD3467">
        <w:rPr>
          <w:rFonts w:hint="eastAsia"/>
        </w:rPr>
        <w:t xml:space="preserve"> </w:t>
      </w:r>
      <w:r w:rsidR="00CD3467">
        <w:rPr>
          <w:noProof/>
        </w:rPr>
        <w:t>12</w:t>
      </w:r>
      <w:r w:rsidR="00CD3467">
        <w:fldChar w:fldCharType="end"/>
      </w:r>
      <w:r>
        <w:rPr>
          <w:rFonts w:hint="eastAsia"/>
        </w:rPr>
        <w:t>。</w:t>
      </w:r>
    </w:p>
    <w:p w14:paraId="0D1EE24F" w14:textId="1604EE36" w:rsidR="00FD6984" w:rsidRDefault="00000000">
      <w:pPr>
        <w:pStyle w:val="a3"/>
        <w:keepNext/>
      </w:pPr>
      <w:bookmarkStart w:id="32" w:name="_Ref168476258"/>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CD3467">
        <w:rPr>
          <w:noProof/>
        </w:rPr>
        <w:t>11</w:t>
      </w:r>
      <w:r>
        <w:fldChar w:fldCharType="end"/>
      </w:r>
      <w:bookmarkEnd w:id="32"/>
      <w:r>
        <w:rPr>
          <w:rFonts w:hint="eastAsia"/>
        </w:rPr>
        <w:t xml:space="preserve"> </w:t>
      </w:r>
      <w:r>
        <w:rPr>
          <w:rFonts w:hint="eastAsia"/>
        </w:rPr>
        <w:t>化石燃料车型运行能源消耗</w:t>
      </w:r>
      <w:proofErr w:type="gramStart"/>
      <w:r>
        <w:rPr>
          <w:rFonts w:hint="eastAsia"/>
        </w:rPr>
        <w:t>量速度</w:t>
      </w:r>
      <w:proofErr w:type="gramEnd"/>
      <w:r>
        <w:rPr>
          <w:rFonts w:hint="eastAsia"/>
        </w:rPr>
        <w:t>修正系数</w:t>
      </w:r>
    </w:p>
    <w:tbl>
      <w:tblPr>
        <w:tblStyle w:val="ae"/>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086"/>
        <w:gridCol w:w="780"/>
        <w:gridCol w:w="900"/>
        <w:gridCol w:w="900"/>
        <w:gridCol w:w="900"/>
        <w:gridCol w:w="900"/>
        <w:gridCol w:w="900"/>
        <w:gridCol w:w="1019"/>
        <w:gridCol w:w="1137"/>
      </w:tblGrid>
      <w:tr w:rsidR="00CD3467" w14:paraId="18A289B5" w14:textId="77777777" w:rsidTr="00036A86">
        <w:trPr>
          <w:trHeight w:val="925"/>
        </w:trPr>
        <w:tc>
          <w:tcPr>
            <w:tcW w:w="707" w:type="pct"/>
            <w:tcBorders>
              <w:top w:val="single" w:sz="12" w:space="0" w:color="auto"/>
              <w:bottom w:val="single" w:sz="12" w:space="0" w:color="auto"/>
            </w:tcBorders>
            <w:vAlign w:val="center"/>
          </w:tcPr>
          <w:p w14:paraId="0D53DD61" w14:textId="77777777" w:rsidR="00CD3467" w:rsidRDefault="00CD3467" w:rsidP="00036A86">
            <w:pPr>
              <w:pStyle w:val="af0"/>
            </w:pPr>
            <w:r>
              <w:rPr>
                <w:rFonts w:hint="eastAsia"/>
              </w:rPr>
              <w:t>区间平均速度（</w:t>
            </w:r>
            <m:oMath>
              <m:r>
                <w:rPr>
                  <w:rFonts w:ascii="Cambria Math" w:hAnsi="Cambria Math"/>
                </w:rPr>
                <m:t>v</m:t>
              </m:r>
            </m:oMath>
            <w:r>
              <w:rPr>
                <w:rFonts w:hint="eastAsia"/>
              </w:rPr>
              <w:t>），单位为千米每小时（</w:t>
            </w:r>
            <w:r>
              <w:rPr>
                <w:rFonts w:hint="eastAsia"/>
              </w:rPr>
              <w:t>km</w:t>
            </w:r>
            <w:r>
              <w:t>/h</w:t>
            </w:r>
            <w:r>
              <w:rPr>
                <w:rFonts w:hint="eastAsia"/>
              </w:rPr>
              <w:t>）</w:t>
            </w:r>
          </w:p>
        </w:tc>
        <w:tc>
          <w:tcPr>
            <w:tcW w:w="405" w:type="pct"/>
            <w:tcBorders>
              <w:top w:val="single" w:sz="12" w:space="0" w:color="auto"/>
              <w:bottom w:val="single" w:sz="12" w:space="0" w:color="auto"/>
            </w:tcBorders>
            <w:vAlign w:val="center"/>
          </w:tcPr>
          <w:p w14:paraId="656091C7" w14:textId="77777777" w:rsidR="00CD3467" w:rsidRDefault="00CD3467" w:rsidP="00036A86">
            <w:pPr>
              <w:pStyle w:val="af0"/>
            </w:pPr>
            <m:oMathPara>
              <m:oMath>
                <m:r>
                  <w:rPr>
                    <w:rFonts w:ascii="Cambria Math" w:hAnsi="Cambria Math"/>
                  </w:rPr>
                  <m:t>(0,20]</m:t>
                </m:r>
              </m:oMath>
            </m:oMathPara>
          </w:p>
        </w:tc>
        <w:tc>
          <w:tcPr>
            <w:tcW w:w="505" w:type="pct"/>
            <w:tcBorders>
              <w:top w:val="single" w:sz="12" w:space="0" w:color="auto"/>
              <w:bottom w:val="single" w:sz="12" w:space="0" w:color="auto"/>
            </w:tcBorders>
            <w:vAlign w:val="center"/>
          </w:tcPr>
          <w:p w14:paraId="44C55A55" w14:textId="77777777" w:rsidR="00CD3467" w:rsidRDefault="00CD3467" w:rsidP="00036A86">
            <w:pPr>
              <w:pStyle w:val="af0"/>
              <w:rPr>
                <w:i/>
              </w:rPr>
            </w:pPr>
            <m:oMathPara>
              <m:oMath>
                <m:r>
                  <w:rPr>
                    <w:rFonts w:ascii="Cambria Math" w:hAnsi="Cambria Math"/>
                  </w:rPr>
                  <m:t>(20,30]</m:t>
                </m:r>
              </m:oMath>
            </m:oMathPara>
          </w:p>
        </w:tc>
        <w:tc>
          <w:tcPr>
            <w:tcW w:w="608" w:type="pct"/>
            <w:tcBorders>
              <w:top w:val="single" w:sz="12" w:space="0" w:color="auto"/>
              <w:bottom w:val="single" w:sz="12" w:space="0" w:color="auto"/>
            </w:tcBorders>
            <w:vAlign w:val="center"/>
          </w:tcPr>
          <w:p w14:paraId="62273CF4" w14:textId="77777777" w:rsidR="00CD3467" w:rsidRDefault="00CD3467" w:rsidP="00036A86">
            <w:pPr>
              <w:pStyle w:val="af0"/>
            </w:pPr>
            <m:oMathPara>
              <m:oMath>
                <m:r>
                  <w:rPr>
                    <w:rFonts w:ascii="Cambria Math" w:hAnsi="Cambria Math"/>
                  </w:rPr>
                  <m:t>(30,40]</m:t>
                </m:r>
              </m:oMath>
            </m:oMathPara>
          </w:p>
        </w:tc>
        <w:tc>
          <w:tcPr>
            <w:tcW w:w="557" w:type="pct"/>
            <w:tcBorders>
              <w:top w:val="single" w:sz="12" w:space="0" w:color="auto"/>
              <w:bottom w:val="single" w:sz="12" w:space="0" w:color="auto"/>
            </w:tcBorders>
            <w:vAlign w:val="center"/>
          </w:tcPr>
          <w:p w14:paraId="165A40D3" w14:textId="77777777" w:rsidR="00CD3467" w:rsidRDefault="00CD3467" w:rsidP="00036A86">
            <w:pPr>
              <w:pStyle w:val="af0"/>
            </w:pPr>
            <m:oMathPara>
              <m:oMath>
                <m:r>
                  <w:rPr>
                    <w:rFonts w:ascii="Cambria Math" w:hAnsi="Cambria Math"/>
                  </w:rPr>
                  <m:t>(40,50]</m:t>
                </m:r>
              </m:oMath>
            </m:oMathPara>
          </w:p>
        </w:tc>
        <w:tc>
          <w:tcPr>
            <w:tcW w:w="556" w:type="pct"/>
            <w:tcBorders>
              <w:top w:val="single" w:sz="12" w:space="0" w:color="auto"/>
              <w:bottom w:val="single" w:sz="12" w:space="0" w:color="auto"/>
            </w:tcBorders>
            <w:vAlign w:val="center"/>
          </w:tcPr>
          <w:p w14:paraId="1F758C83" w14:textId="77777777" w:rsidR="00CD3467" w:rsidRDefault="00CD3467" w:rsidP="00036A86">
            <w:pPr>
              <w:pStyle w:val="af0"/>
            </w:pPr>
            <m:oMathPara>
              <m:oMath>
                <m:r>
                  <w:rPr>
                    <w:rFonts w:ascii="Cambria Math" w:hAnsi="Cambria Math"/>
                  </w:rPr>
                  <m:t>(50,70]</m:t>
                </m:r>
              </m:oMath>
            </m:oMathPara>
          </w:p>
        </w:tc>
        <w:tc>
          <w:tcPr>
            <w:tcW w:w="555" w:type="pct"/>
            <w:tcBorders>
              <w:top w:val="single" w:sz="12" w:space="0" w:color="auto"/>
              <w:bottom w:val="single" w:sz="12" w:space="0" w:color="auto"/>
            </w:tcBorders>
            <w:vAlign w:val="center"/>
          </w:tcPr>
          <w:p w14:paraId="7B9C375B" w14:textId="77777777" w:rsidR="00CD3467" w:rsidRDefault="00CD3467" w:rsidP="00036A86">
            <w:pPr>
              <w:pStyle w:val="af0"/>
              <w:rPr>
                <w:rFonts w:ascii="宋体"/>
              </w:rPr>
            </w:pPr>
            <m:oMathPara>
              <m:oMath>
                <m:r>
                  <w:rPr>
                    <w:rFonts w:ascii="Cambria Math" w:hAnsi="Cambria Math"/>
                  </w:rPr>
                  <m:t>(70,90]</m:t>
                </m:r>
              </m:oMath>
            </m:oMathPara>
          </w:p>
        </w:tc>
        <w:tc>
          <w:tcPr>
            <w:tcW w:w="555" w:type="pct"/>
            <w:tcBorders>
              <w:top w:val="single" w:sz="12" w:space="0" w:color="auto"/>
              <w:bottom w:val="single" w:sz="12" w:space="0" w:color="auto"/>
            </w:tcBorders>
            <w:vAlign w:val="center"/>
          </w:tcPr>
          <w:p w14:paraId="33049FFC" w14:textId="77777777" w:rsidR="00CD3467" w:rsidRDefault="00CD3467" w:rsidP="00036A86">
            <w:pPr>
              <w:pStyle w:val="af0"/>
              <w:rPr>
                <w:rFonts w:ascii="宋体"/>
              </w:rPr>
            </w:pPr>
            <m:oMathPara>
              <m:oMath>
                <m:r>
                  <w:rPr>
                    <w:rFonts w:ascii="Cambria Math" w:hAnsi="Cambria Math"/>
                  </w:rPr>
                  <m:t>(90,110]</m:t>
                </m:r>
              </m:oMath>
            </m:oMathPara>
          </w:p>
        </w:tc>
        <w:tc>
          <w:tcPr>
            <w:tcW w:w="551" w:type="pct"/>
            <w:tcBorders>
              <w:top w:val="single" w:sz="12" w:space="0" w:color="auto"/>
              <w:bottom w:val="single" w:sz="12" w:space="0" w:color="auto"/>
            </w:tcBorders>
            <w:vAlign w:val="center"/>
          </w:tcPr>
          <w:p w14:paraId="537A5F30" w14:textId="77777777" w:rsidR="00CD3467" w:rsidRDefault="00CD3467" w:rsidP="00036A86">
            <w:pPr>
              <w:pStyle w:val="af0"/>
              <w:rPr>
                <w:rFonts w:ascii="宋体"/>
              </w:rPr>
            </w:pPr>
            <m:oMathPara>
              <m:oMath>
                <m:r>
                  <w:rPr>
                    <w:rFonts w:ascii="Cambria Math" w:hAnsi="Cambria Math"/>
                  </w:rPr>
                  <m:t>(110,120]</m:t>
                </m:r>
              </m:oMath>
            </m:oMathPara>
          </w:p>
        </w:tc>
      </w:tr>
      <w:tr w:rsidR="00CD3467" w14:paraId="235D95BD" w14:textId="77777777" w:rsidTr="00036A86">
        <w:trPr>
          <w:trHeight w:val="451"/>
        </w:trPr>
        <w:tc>
          <w:tcPr>
            <w:tcW w:w="707" w:type="pct"/>
            <w:tcBorders>
              <w:top w:val="single" w:sz="12" w:space="0" w:color="auto"/>
              <w:bottom w:val="single" w:sz="12" w:space="0" w:color="auto"/>
            </w:tcBorders>
            <w:vAlign w:val="center"/>
          </w:tcPr>
          <w:p w14:paraId="2E89B35B" w14:textId="77777777" w:rsidR="00CD3467" w:rsidRDefault="00CD3467" w:rsidP="00036A86">
            <w:pPr>
              <w:pStyle w:val="af0"/>
            </w:pPr>
            <m:oMathPara>
              <m:oMath>
                <m:sSub>
                  <m:sSubPr>
                    <m:ctrlPr>
                      <w:rPr>
                        <w:rFonts w:ascii="Cambria Math" w:hAnsi="Cambria Math"/>
                      </w:rPr>
                    </m:ctrlPr>
                  </m:sSubPr>
                  <m:e>
                    <m:r>
                      <w:rPr>
                        <w:rFonts w:ascii="Cambria Math" w:hAnsi="Cambria Math"/>
                      </w:rPr>
                      <m:t>K</m:t>
                    </m:r>
                  </m:e>
                  <m:sub>
                    <m:r>
                      <w:rPr>
                        <w:rFonts w:ascii="Cambria Math" w:hAnsi="Cambria Math"/>
                      </w:rPr>
                      <m:t>v.f</m:t>
                    </m:r>
                  </m:sub>
                </m:sSub>
              </m:oMath>
            </m:oMathPara>
          </w:p>
        </w:tc>
        <w:tc>
          <w:tcPr>
            <w:tcW w:w="405" w:type="pct"/>
            <w:tcBorders>
              <w:top w:val="single" w:sz="12" w:space="0" w:color="auto"/>
              <w:bottom w:val="single" w:sz="12" w:space="0" w:color="auto"/>
            </w:tcBorders>
            <w:vAlign w:val="center"/>
          </w:tcPr>
          <w:p w14:paraId="73B27249" w14:textId="77777777" w:rsidR="00CD3467" w:rsidRDefault="00CD3467" w:rsidP="00036A86">
            <w:pPr>
              <w:pStyle w:val="af0"/>
            </w:pPr>
            <w:r>
              <w:rPr>
                <w:rFonts w:hint="eastAsia"/>
              </w:rPr>
              <w:t>1</w:t>
            </w:r>
            <w:r>
              <w:t>.30</w:t>
            </w:r>
          </w:p>
        </w:tc>
        <w:tc>
          <w:tcPr>
            <w:tcW w:w="505" w:type="pct"/>
            <w:tcBorders>
              <w:top w:val="single" w:sz="12" w:space="0" w:color="auto"/>
              <w:bottom w:val="single" w:sz="12" w:space="0" w:color="auto"/>
            </w:tcBorders>
            <w:vAlign w:val="center"/>
          </w:tcPr>
          <w:p w14:paraId="1FD75E9F" w14:textId="77777777" w:rsidR="00CD3467" w:rsidRDefault="00CD3467" w:rsidP="00036A86">
            <w:pPr>
              <w:pStyle w:val="af0"/>
            </w:pPr>
            <w:r>
              <w:rPr>
                <w:rFonts w:hint="eastAsia"/>
              </w:rPr>
              <w:t>1</w:t>
            </w:r>
            <w:r>
              <w:t>.15</w:t>
            </w:r>
          </w:p>
        </w:tc>
        <w:tc>
          <w:tcPr>
            <w:tcW w:w="608" w:type="pct"/>
            <w:tcBorders>
              <w:top w:val="single" w:sz="12" w:space="0" w:color="auto"/>
              <w:bottom w:val="single" w:sz="12" w:space="0" w:color="auto"/>
            </w:tcBorders>
            <w:vAlign w:val="center"/>
          </w:tcPr>
          <w:p w14:paraId="2455B63B" w14:textId="77777777" w:rsidR="00CD3467" w:rsidRDefault="00CD3467" w:rsidP="00036A86">
            <w:pPr>
              <w:pStyle w:val="af0"/>
            </w:pPr>
            <w:r>
              <w:rPr>
                <w:rFonts w:hint="eastAsia"/>
              </w:rPr>
              <w:t>1</w:t>
            </w:r>
            <w:r>
              <w:t>.00</w:t>
            </w:r>
          </w:p>
        </w:tc>
        <w:tc>
          <w:tcPr>
            <w:tcW w:w="557" w:type="pct"/>
            <w:tcBorders>
              <w:top w:val="single" w:sz="12" w:space="0" w:color="auto"/>
              <w:bottom w:val="single" w:sz="12" w:space="0" w:color="auto"/>
            </w:tcBorders>
            <w:vAlign w:val="center"/>
          </w:tcPr>
          <w:p w14:paraId="073CBF51" w14:textId="77777777" w:rsidR="00CD3467" w:rsidRDefault="00CD3467" w:rsidP="00036A86">
            <w:pPr>
              <w:pStyle w:val="af0"/>
            </w:pPr>
            <w:r>
              <w:rPr>
                <w:rFonts w:hint="eastAsia"/>
              </w:rPr>
              <w:t>0</w:t>
            </w:r>
            <w:r>
              <w:t>.90</w:t>
            </w:r>
          </w:p>
        </w:tc>
        <w:tc>
          <w:tcPr>
            <w:tcW w:w="556" w:type="pct"/>
            <w:tcBorders>
              <w:top w:val="single" w:sz="12" w:space="0" w:color="auto"/>
              <w:bottom w:val="single" w:sz="12" w:space="0" w:color="auto"/>
            </w:tcBorders>
            <w:vAlign w:val="center"/>
          </w:tcPr>
          <w:p w14:paraId="40843DA6" w14:textId="77777777" w:rsidR="00CD3467" w:rsidRDefault="00CD3467" w:rsidP="00036A86">
            <w:pPr>
              <w:pStyle w:val="af0"/>
            </w:pPr>
            <w:r>
              <w:rPr>
                <w:rFonts w:hint="eastAsia"/>
              </w:rPr>
              <w:t>0</w:t>
            </w:r>
            <w:r>
              <w:t>.</w:t>
            </w:r>
            <w:r>
              <w:rPr>
                <w:rFonts w:hint="eastAsia"/>
              </w:rPr>
              <w:t>79</w:t>
            </w:r>
          </w:p>
        </w:tc>
        <w:tc>
          <w:tcPr>
            <w:tcW w:w="555" w:type="pct"/>
            <w:tcBorders>
              <w:top w:val="single" w:sz="12" w:space="0" w:color="auto"/>
              <w:bottom w:val="single" w:sz="12" w:space="0" w:color="auto"/>
            </w:tcBorders>
            <w:vAlign w:val="center"/>
          </w:tcPr>
          <w:p w14:paraId="2C3DDE20" w14:textId="77777777" w:rsidR="00CD3467" w:rsidRDefault="00CD3467" w:rsidP="00036A86">
            <w:pPr>
              <w:pStyle w:val="af0"/>
            </w:pPr>
            <w:r>
              <w:rPr>
                <w:rFonts w:hint="eastAsia"/>
              </w:rPr>
              <w:t>0.73</w:t>
            </w:r>
          </w:p>
        </w:tc>
        <w:tc>
          <w:tcPr>
            <w:tcW w:w="555" w:type="pct"/>
            <w:tcBorders>
              <w:top w:val="single" w:sz="12" w:space="0" w:color="auto"/>
              <w:bottom w:val="single" w:sz="12" w:space="0" w:color="auto"/>
            </w:tcBorders>
            <w:vAlign w:val="center"/>
          </w:tcPr>
          <w:p w14:paraId="5C7F3CC7" w14:textId="77777777" w:rsidR="00CD3467" w:rsidRDefault="00CD3467" w:rsidP="00036A86">
            <w:pPr>
              <w:pStyle w:val="af0"/>
            </w:pPr>
            <w:r>
              <w:rPr>
                <w:rFonts w:hint="eastAsia"/>
              </w:rPr>
              <w:t>0.85</w:t>
            </w:r>
          </w:p>
        </w:tc>
        <w:tc>
          <w:tcPr>
            <w:tcW w:w="551" w:type="pct"/>
            <w:tcBorders>
              <w:top w:val="single" w:sz="12" w:space="0" w:color="auto"/>
              <w:bottom w:val="single" w:sz="12" w:space="0" w:color="auto"/>
            </w:tcBorders>
            <w:vAlign w:val="center"/>
          </w:tcPr>
          <w:p w14:paraId="184B7F41" w14:textId="77777777" w:rsidR="00CD3467" w:rsidRDefault="00CD3467" w:rsidP="00036A86">
            <w:pPr>
              <w:pStyle w:val="af0"/>
              <w:rPr>
                <w:rFonts w:hint="eastAsia"/>
              </w:rPr>
            </w:pPr>
            <w:r>
              <w:rPr>
                <w:rFonts w:hint="eastAsia"/>
              </w:rPr>
              <w:t>1.04</w:t>
            </w:r>
          </w:p>
        </w:tc>
      </w:tr>
    </w:tbl>
    <w:p w14:paraId="0D2A8766" w14:textId="77777777" w:rsidR="00FD6984" w:rsidRDefault="00FD6984">
      <w:pPr>
        <w:ind w:firstLineChars="200" w:firstLine="482"/>
        <w:rPr>
          <w:b/>
          <w:bCs/>
        </w:rPr>
      </w:pPr>
    </w:p>
    <w:p w14:paraId="2CB6B6FE" w14:textId="5B1FDE39" w:rsidR="00CD3467" w:rsidRDefault="00CD3467" w:rsidP="00CD3467">
      <w:pPr>
        <w:pStyle w:val="a3"/>
        <w:keepNext/>
      </w:pPr>
      <w:bookmarkStart w:id="33" w:name="_Ref169876073"/>
      <w:r>
        <w:rPr>
          <w:rFonts w:hint="eastAsia"/>
        </w:rPr>
        <w:lastRenderedPageBreak/>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noProof/>
        </w:rPr>
        <w:t>12</w:t>
      </w:r>
      <w:r>
        <w:fldChar w:fldCharType="end"/>
      </w:r>
      <w:bookmarkEnd w:id="33"/>
      <w:r>
        <w:rPr>
          <w:rFonts w:hint="eastAsia"/>
        </w:rPr>
        <w:t xml:space="preserve"> </w:t>
      </w:r>
      <w:r>
        <w:rPr>
          <w:rFonts w:hint="eastAsia"/>
        </w:rPr>
        <w:t>纯电动</w:t>
      </w:r>
      <w:r>
        <w:rPr>
          <w:rFonts w:hint="eastAsia"/>
        </w:rPr>
        <w:t>车型运行能源消耗</w:t>
      </w:r>
      <w:proofErr w:type="gramStart"/>
      <w:r>
        <w:rPr>
          <w:rFonts w:hint="eastAsia"/>
        </w:rPr>
        <w:t>量速度</w:t>
      </w:r>
      <w:proofErr w:type="gramEnd"/>
      <w:r>
        <w:rPr>
          <w:rFonts w:hint="eastAsia"/>
        </w:rPr>
        <w:t>修正系数</w:t>
      </w:r>
    </w:p>
    <w:tbl>
      <w:tblPr>
        <w:tblStyle w:val="ae"/>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086"/>
        <w:gridCol w:w="780"/>
        <w:gridCol w:w="900"/>
        <w:gridCol w:w="900"/>
        <w:gridCol w:w="900"/>
        <w:gridCol w:w="900"/>
        <w:gridCol w:w="900"/>
        <w:gridCol w:w="1019"/>
        <w:gridCol w:w="1137"/>
      </w:tblGrid>
      <w:tr w:rsidR="00CD3467" w14:paraId="2726E65A" w14:textId="77777777" w:rsidTr="00CD3467">
        <w:trPr>
          <w:trHeight w:val="925"/>
        </w:trPr>
        <w:tc>
          <w:tcPr>
            <w:tcW w:w="637" w:type="pct"/>
            <w:tcBorders>
              <w:top w:val="single" w:sz="12" w:space="0" w:color="auto"/>
              <w:bottom w:val="single" w:sz="12" w:space="0" w:color="auto"/>
            </w:tcBorders>
            <w:vAlign w:val="center"/>
          </w:tcPr>
          <w:p w14:paraId="5D660786" w14:textId="77777777" w:rsidR="00CD3467" w:rsidRDefault="00CD3467" w:rsidP="00036A86">
            <w:pPr>
              <w:pStyle w:val="af0"/>
            </w:pPr>
            <w:r>
              <w:rPr>
                <w:rFonts w:hint="eastAsia"/>
              </w:rPr>
              <w:t>区间平均速度（</w:t>
            </w:r>
            <m:oMath>
              <m:r>
                <w:rPr>
                  <w:rFonts w:ascii="Cambria Math" w:hAnsi="Cambria Math"/>
                </w:rPr>
                <m:t>v</m:t>
              </m:r>
            </m:oMath>
            <w:r>
              <w:rPr>
                <w:rFonts w:hint="eastAsia"/>
              </w:rPr>
              <w:t>），单位为千米每小时（</w:t>
            </w:r>
            <w:r>
              <w:rPr>
                <w:rFonts w:hint="eastAsia"/>
              </w:rPr>
              <w:t>km</w:t>
            </w:r>
            <w:r>
              <w:t>/h</w:t>
            </w:r>
            <w:r>
              <w:rPr>
                <w:rFonts w:hint="eastAsia"/>
              </w:rPr>
              <w:t>）</w:t>
            </w:r>
          </w:p>
        </w:tc>
        <w:tc>
          <w:tcPr>
            <w:tcW w:w="458" w:type="pct"/>
            <w:tcBorders>
              <w:top w:val="single" w:sz="12" w:space="0" w:color="auto"/>
              <w:bottom w:val="single" w:sz="12" w:space="0" w:color="auto"/>
            </w:tcBorders>
            <w:vAlign w:val="center"/>
          </w:tcPr>
          <w:p w14:paraId="2E3B78D9" w14:textId="77777777" w:rsidR="00CD3467" w:rsidRDefault="00CD3467" w:rsidP="00036A86">
            <w:pPr>
              <w:pStyle w:val="af0"/>
            </w:pPr>
            <m:oMathPara>
              <m:oMath>
                <m:r>
                  <w:rPr>
                    <w:rFonts w:ascii="Cambria Math" w:hAnsi="Cambria Math"/>
                  </w:rPr>
                  <m:t>(0,20]</m:t>
                </m:r>
              </m:oMath>
            </m:oMathPara>
          </w:p>
        </w:tc>
        <w:tc>
          <w:tcPr>
            <w:tcW w:w="528" w:type="pct"/>
            <w:tcBorders>
              <w:top w:val="single" w:sz="12" w:space="0" w:color="auto"/>
              <w:bottom w:val="single" w:sz="12" w:space="0" w:color="auto"/>
            </w:tcBorders>
            <w:vAlign w:val="center"/>
          </w:tcPr>
          <w:p w14:paraId="3A97D627" w14:textId="77777777" w:rsidR="00CD3467" w:rsidRDefault="00CD3467" w:rsidP="00036A86">
            <w:pPr>
              <w:pStyle w:val="af0"/>
              <w:rPr>
                <w:i/>
              </w:rPr>
            </w:pPr>
            <m:oMathPara>
              <m:oMath>
                <m:r>
                  <w:rPr>
                    <w:rFonts w:ascii="Cambria Math" w:hAnsi="Cambria Math"/>
                  </w:rPr>
                  <m:t>(20,30]</m:t>
                </m:r>
              </m:oMath>
            </m:oMathPara>
          </w:p>
        </w:tc>
        <w:tc>
          <w:tcPr>
            <w:tcW w:w="528" w:type="pct"/>
            <w:tcBorders>
              <w:top w:val="single" w:sz="12" w:space="0" w:color="auto"/>
              <w:bottom w:val="single" w:sz="12" w:space="0" w:color="auto"/>
            </w:tcBorders>
            <w:vAlign w:val="center"/>
          </w:tcPr>
          <w:p w14:paraId="6DFF6E48" w14:textId="77777777" w:rsidR="00CD3467" w:rsidRDefault="00CD3467" w:rsidP="00036A86">
            <w:pPr>
              <w:pStyle w:val="af0"/>
            </w:pPr>
            <m:oMathPara>
              <m:oMath>
                <m:r>
                  <w:rPr>
                    <w:rFonts w:ascii="Cambria Math" w:hAnsi="Cambria Math"/>
                  </w:rPr>
                  <m:t>(30,40]</m:t>
                </m:r>
              </m:oMath>
            </m:oMathPara>
          </w:p>
        </w:tc>
        <w:tc>
          <w:tcPr>
            <w:tcW w:w="528" w:type="pct"/>
            <w:tcBorders>
              <w:top w:val="single" w:sz="12" w:space="0" w:color="auto"/>
              <w:bottom w:val="single" w:sz="12" w:space="0" w:color="auto"/>
            </w:tcBorders>
            <w:vAlign w:val="center"/>
          </w:tcPr>
          <w:p w14:paraId="7B36B15F" w14:textId="77777777" w:rsidR="00CD3467" w:rsidRDefault="00CD3467" w:rsidP="00036A86">
            <w:pPr>
              <w:pStyle w:val="af0"/>
            </w:pPr>
            <m:oMathPara>
              <m:oMath>
                <m:r>
                  <w:rPr>
                    <w:rFonts w:ascii="Cambria Math" w:hAnsi="Cambria Math"/>
                  </w:rPr>
                  <m:t>(40,50]</m:t>
                </m:r>
              </m:oMath>
            </m:oMathPara>
          </w:p>
        </w:tc>
        <w:tc>
          <w:tcPr>
            <w:tcW w:w="528" w:type="pct"/>
            <w:tcBorders>
              <w:top w:val="single" w:sz="12" w:space="0" w:color="auto"/>
              <w:bottom w:val="single" w:sz="12" w:space="0" w:color="auto"/>
            </w:tcBorders>
            <w:vAlign w:val="center"/>
          </w:tcPr>
          <w:p w14:paraId="7C3F7508" w14:textId="77777777" w:rsidR="00CD3467" w:rsidRDefault="00CD3467" w:rsidP="00036A86">
            <w:pPr>
              <w:pStyle w:val="af0"/>
            </w:pPr>
            <m:oMathPara>
              <m:oMath>
                <m:r>
                  <w:rPr>
                    <w:rFonts w:ascii="Cambria Math" w:hAnsi="Cambria Math"/>
                  </w:rPr>
                  <m:t>(50,70]</m:t>
                </m:r>
              </m:oMath>
            </m:oMathPara>
          </w:p>
        </w:tc>
        <w:tc>
          <w:tcPr>
            <w:tcW w:w="528" w:type="pct"/>
            <w:tcBorders>
              <w:top w:val="single" w:sz="12" w:space="0" w:color="auto"/>
              <w:bottom w:val="single" w:sz="12" w:space="0" w:color="auto"/>
            </w:tcBorders>
            <w:vAlign w:val="center"/>
          </w:tcPr>
          <w:p w14:paraId="2979A6EC" w14:textId="77777777" w:rsidR="00CD3467" w:rsidRDefault="00CD3467" w:rsidP="00036A86">
            <w:pPr>
              <w:pStyle w:val="af0"/>
              <w:rPr>
                <w:rFonts w:ascii="宋体"/>
              </w:rPr>
            </w:pPr>
            <m:oMathPara>
              <m:oMath>
                <m:r>
                  <w:rPr>
                    <w:rFonts w:ascii="Cambria Math" w:hAnsi="Cambria Math"/>
                  </w:rPr>
                  <m:t>(70,90]</m:t>
                </m:r>
              </m:oMath>
            </m:oMathPara>
          </w:p>
        </w:tc>
        <w:tc>
          <w:tcPr>
            <w:tcW w:w="598" w:type="pct"/>
            <w:tcBorders>
              <w:top w:val="single" w:sz="12" w:space="0" w:color="auto"/>
              <w:bottom w:val="single" w:sz="12" w:space="0" w:color="auto"/>
            </w:tcBorders>
            <w:vAlign w:val="center"/>
          </w:tcPr>
          <w:p w14:paraId="3B057EAE" w14:textId="77777777" w:rsidR="00CD3467" w:rsidRDefault="00CD3467" w:rsidP="00036A86">
            <w:pPr>
              <w:pStyle w:val="af0"/>
              <w:rPr>
                <w:rFonts w:ascii="宋体"/>
              </w:rPr>
            </w:pPr>
            <m:oMathPara>
              <m:oMath>
                <m:r>
                  <w:rPr>
                    <w:rFonts w:ascii="Cambria Math" w:hAnsi="Cambria Math"/>
                  </w:rPr>
                  <m:t>(90,110]</m:t>
                </m:r>
              </m:oMath>
            </m:oMathPara>
          </w:p>
        </w:tc>
        <w:tc>
          <w:tcPr>
            <w:tcW w:w="667" w:type="pct"/>
            <w:tcBorders>
              <w:top w:val="single" w:sz="12" w:space="0" w:color="auto"/>
              <w:bottom w:val="single" w:sz="12" w:space="0" w:color="auto"/>
            </w:tcBorders>
            <w:vAlign w:val="center"/>
          </w:tcPr>
          <w:p w14:paraId="5CD9B5F9" w14:textId="77777777" w:rsidR="00CD3467" w:rsidRDefault="00CD3467" w:rsidP="00036A86">
            <w:pPr>
              <w:pStyle w:val="af0"/>
              <w:rPr>
                <w:rFonts w:ascii="宋体"/>
              </w:rPr>
            </w:pPr>
            <m:oMathPara>
              <m:oMath>
                <m:r>
                  <w:rPr>
                    <w:rFonts w:ascii="Cambria Math" w:hAnsi="Cambria Math"/>
                  </w:rPr>
                  <m:t>(110,120]</m:t>
                </m:r>
              </m:oMath>
            </m:oMathPara>
          </w:p>
        </w:tc>
      </w:tr>
      <w:tr w:rsidR="00CD3467" w14:paraId="4AD5FE9A" w14:textId="77777777" w:rsidTr="00CD3467">
        <w:trPr>
          <w:trHeight w:val="451"/>
        </w:trPr>
        <w:tc>
          <w:tcPr>
            <w:tcW w:w="637" w:type="pct"/>
            <w:tcBorders>
              <w:top w:val="single" w:sz="12" w:space="0" w:color="auto"/>
              <w:bottom w:val="single" w:sz="12" w:space="0" w:color="auto"/>
            </w:tcBorders>
            <w:vAlign w:val="center"/>
          </w:tcPr>
          <w:p w14:paraId="1A5FDCD2" w14:textId="77777777" w:rsidR="00CD3467" w:rsidRDefault="00CD3467" w:rsidP="00036A86">
            <w:pPr>
              <w:pStyle w:val="af0"/>
            </w:pPr>
            <m:oMathPara>
              <m:oMath>
                <m:sSub>
                  <m:sSubPr>
                    <m:ctrlPr>
                      <w:rPr>
                        <w:rFonts w:ascii="Cambria Math" w:hAnsi="Cambria Math"/>
                      </w:rPr>
                    </m:ctrlPr>
                  </m:sSubPr>
                  <m:e>
                    <m:r>
                      <w:rPr>
                        <w:rFonts w:ascii="Cambria Math" w:hAnsi="Cambria Math"/>
                      </w:rPr>
                      <m:t>K</m:t>
                    </m:r>
                  </m:e>
                  <m:sub>
                    <m:r>
                      <w:rPr>
                        <w:rFonts w:ascii="Cambria Math" w:hAnsi="Cambria Math"/>
                      </w:rPr>
                      <m:t>v,e</m:t>
                    </m:r>
                  </m:sub>
                </m:sSub>
              </m:oMath>
            </m:oMathPara>
          </w:p>
        </w:tc>
        <w:tc>
          <w:tcPr>
            <w:tcW w:w="458" w:type="pct"/>
            <w:tcBorders>
              <w:top w:val="single" w:sz="12" w:space="0" w:color="auto"/>
              <w:bottom w:val="single" w:sz="12" w:space="0" w:color="auto"/>
            </w:tcBorders>
            <w:vAlign w:val="center"/>
          </w:tcPr>
          <w:p w14:paraId="6AA71AC2" w14:textId="77777777" w:rsidR="00CD3467" w:rsidRDefault="00CD3467" w:rsidP="00036A86">
            <w:pPr>
              <w:pStyle w:val="af0"/>
              <w:rPr>
                <w:rFonts w:hint="eastAsia"/>
              </w:rPr>
            </w:pPr>
            <w:r>
              <w:rPr>
                <w:rFonts w:hint="eastAsia"/>
              </w:rPr>
              <w:t>1.61</w:t>
            </w:r>
          </w:p>
        </w:tc>
        <w:tc>
          <w:tcPr>
            <w:tcW w:w="528" w:type="pct"/>
            <w:tcBorders>
              <w:top w:val="single" w:sz="12" w:space="0" w:color="auto"/>
              <w:bottom w:val="single" w:sz="12" w:space="0" w:color="auto"/>
            </w:tcBorders>
            <w:vAlign w:val="center"/>
          </w:tcPr>
          <w:p w14:paraId="27BA86B4" w14:textId="77777777" w:rsidR="00CD3467" w:rsidRDefault="00CD3467" w:rsidP="00036A86">
            <w:pPr>
              <w:pStyle w:val="af0"/>
              <w:rPr>
                <w:rFonts w:hint="eastAsia"/>
              </w:rPr>
            </w:pPr>
            <w:r>
              <w:rPr>
                <w:rFonts w:hint="eastAsia"/>
              </w:rPr>
              <w:t>1.33</w:t>
            </w:r>
          </w:p>
        </w:tc>
        <w:tc>
          <w:tcPr>
            <w:tcW w:w="528" w:type="pct"/>
            <w:tcBorders>
              <w:top w:val="single" w:sz="12" w:space="0" w:color="auto"/>
              <w:bottom w:val="single" w:sz="12" w:space="0" w:color="auto"/>
            </w:tcBorders>
            <w:vAlign w:val="center"/>
          </w:tcPr>
          <w:p w14:paraId="39CE7564" w14:textId="77777777" w:rsidR="00CD3467" w:rsidRDefault="00CD3467" w:rsidP="00036A86">
            <w:pPr>
              <w:pStyle w:val="af0"/>
              <w:rPr>
                <w:rFonts w:hint="eastAsia"/>
              </w:rPr>
            </w:pPr>
            <w:r>
              <w:rPr>
                <w:rFonts w:hint="eastAsia"/>
              </w:rPr>
              <w:t>1.10</w:t>
            </w:r>
          </w:p>
        </w:tc>
        <w:tc>
          <w:tcPr>
            <w:tcW w:w="528" w:type="pct"/>
            <w:tcBorders>
              <w:top w:val="single" w:sz="12" w:space="0" w:color="auto"/>
              <w:bottom w:val="single" w:sz="12" w:space="0" w:color="auto"/>
            </w:tcBorders>
            <w:vAlign w:val="center"/>
          </w:tcPr>
          <w:p w14:paraId="407A5A8A" w14:textId="77777777" w:rsidR="00CD3467" w:rsidRDefault="00CD3467" w:rsidP="00036A86">
            <w:pPr>
              <w:pStyle w:val="af0"/>
              <w:rPr>
                <w:rFonts w:hint="eastAsia"/>
              </w:rPr>
            </w:pPr>
            <w:r>
              <w:rPr>
                <w:rFonts w:hint="eastAsia"/>
              </w:rPr>
              <w:t>0.93</w:t>
            </w:r>
          </w:p>
        </w:tc>
        <w:tc>
          <w:tcPr>
            <w:tcW w:w="528" w:type="pct"/>
            <w:tcBorders>
              <w:top w:val="single" w:sz="12" w:space="0" w:color="auto"/>
              <w:bottom w:val="single" w:sz="12" w:space="0" w:color="auto"/>
            </w:tcBorders>
            <w:vAlign w:val="center"/>
          </w:tcPr>
          <w:p w14:paraId="30F03879" w14:textId="77777777" w:rsidR="00CD3467" w:rsidRDefault="00CD3467" w:rsidP="00036A86">
            <w:pPr>
              <w:pStyle w:val="af0"/>
              <w:rPr>
                <w:rFonts w:hint="eastAsia"/>
              </w:rPr>
            </w:pPr>
            <w:r>
              <w:rPr>
                <w:rFonts w:hint="eastAsia"/>
              </w:rPr>
              <w:t>0.80</w:t>
            </w:r>
          </w:p>
        </w:tc>
        <w:tc>
          <w:tcPr>
            <w:tcW w:w="528" w:type="pct"/>
            <w:tcBorders>
              <w:top w:val="single" w:sz="12" w:space="0" w:color="auto"/>
              <w:bottom w:val="single" w:sz="12" w:space="0" w:color="auto"/>
            </w:tcBorders>
            <w:vAlign w:val="center"/>
          </w:tcPr>
          <w:p w14:paraId="0AB359B8" w14:textId="77777777" w:rsidR="00CD3467" w:rsidRDefault="00CD3467" w:rsidP="00036A86">
            <w:pPr>
              <w:pStyle w:val="af0"/>
              <w:rPr>
                <w:rFonts w:hint="eastAsia"/>
              </w:rPr>
            </w:pPr>
            <w:r>
              <w:rPr>
                <w:rFonts w:hint="eastAsia"/>
              </w:rPr>
              <w:t>0.81</w:t>
            </w:r>
          </w:p>
        </w:tc>
        <w:tc>
          <w:tcPr>
            <w:tcW w:w="598" w:type="pct"/>
            <w:tcBorders>
              <w:top w:val="single" w:sz="12" w:space="0" w:color="auto"/>
              <w:bottom w:val="single" w:sz="12" w:space="0" w:color="auto"/>
            </w:tcBorders>
            <w:vAlign w:val="center"/>
          </w:tcPr>
          <w:p w14:paraId="1D85A091" w14:textId="77777777" w:rsidR="00CD3467" w:rsidRDefault="00CD3467" w:rsidP="00036A86">
            <w:pPr>
              <w:pStyle w:val="af0"/>
              <w:rPr>
                <w:rFonts w:hint="eastAsia"/>
              </w:rPr>
            </w:pPr>
            <w:r>
              <w:rPr>
                <w:rFonts w:hint="eastAsia"/>
              </w:rPr>
              <w:t>1.05</w:t>
            </w:r>
          </w:p>
        </w:tc>
        <w:tc>
          <w:tcPr>
            <w:tcW w:w="667" w:type="pct"/>
            <w:tcBorders>
              <w:top w:val="single" w:sz="12" w:space="0" w:color="auto"/>
              <w:bottom w:val="single" w:sz="12" w:space="0" w:color="auto"/>
            </w:tcBorders>
            <w:vAlign w:val="center"/>
          </w:tcPr>
          <w:p w14:paraId="2A6DA169" w14:textId="77777777" w:rsidR="00CD3467" w:rsidRDefault="00CD3467" w:rsidP="00036A86">
            <w:pPr>
              <w:pStyle w:val="af0"/>
              <w:rPr>
                <w:rFonts w:hint="eastAsia"/>
              </w:rPr>
            </w:pPr>
            <w:r>
              <w:rPr>
                <w:rFonts w:hint="eastAsia"/>
              </w:rPr>
              <w:t>1.35</w:t>
            </w:r>
          </w:p>
        </w:tc>
      </w:tr>
    </w:tbl>
    <w:p w14:paraId="2C1567BB" w14:textId="77777777" w:rsidR="00CD3467" w:rsidRDefault="00CD3467">
      <w:pPr>
        <w:ind w:firstLineChars="200" w:firstLine="482"/>
        <w:rPr>
          <w:rFonts w:hint="eastAsia"/>
          <w:b/>
          <w:bCs/>
        </w:rPr>
      </w:pPr>
    </w:p>
    <w:p w14:paraId="33990C54" w14:textId="77777777" w:rsidR="00FD6984" w:rsidRDefault="00FD6984">
      <w:pPr>
        <w:ind w:firstLineChars="200" w:firstLine="482"/>
        <w:rPr>
          <w:b/>
          <w:bCs/>
        </w:rPr>
      </w:pPr>
    </w:p>
    <w:p w14:paraId="117AB5CE" w14:textId="77777777" w:rsidR="00FD6984" w:rsidRDefault="00000000">
      <w:pPr>
        <w:ind w:firstLineChars="200" w:firstLine="482"/>
        <w:rPr>
          <w:b/>
          <w:bCs/>
        </w:rPr>
      </w:pPr>
      <w:r>
        <w:rPr>
          <w:rFonts w:hint="eastAsia"/>
          <w:b/>
          <w:bCs/>
        </w:rPr>
        <w:t>对比分析：经过对比，编制组认为对于速度修正的以上三种处理方式中，方式①的速度区间不太符合高速公路的运行特点，高速公路的行驶速度大多时间都超过</w:t>
      </w:r>
      <w:r>
        <w:rPr>
          <w:rFonts w:hint="eastAsia"/>
          <w:b/>
          <w:bCs/>
        </w:rPr>
        <w:t>50km/h</w:t>
      </w:r>
      <w:r>
        <w:rPr>
          <w:rFonts w:hint="eastAsia"/>
          <w:b/>
          <w:bCs/>
        </w:rPr>
        <w:t>，导致修正系数在高速区间失效；方式②则基于国家标准以及实际测试数据的结果拟合得到了运行能耗</w:t>
      </w:r>
      <w:proofErr w:type="gramStart"/>
      <w:r>
        <w:rPr>
          <w:rFonts w:hint="eastAsia"/>
          <w:b/>
          <w:bCs/>
        </w:rPr>
        <w:t>量速度</w:t>
      </w:r>
      <w:proofErr w:type="gramEnd"/>
      <w:r>
        <w:rPr>
          <w:rFonts w:hint="eastAsia"/>
          <w:b/>
          <w:bCs/>
        </w:rPr>
        <w:t>修正系数与速度之间的函数关系，但是从实际可行性角度来看，速度是平均值，直接使用拟合函数关系存在较大的争议，修正系数对于速度的变化过于灵敏可能导致核算结果波动较大；方式③是在国家标准的数据基础上处理生成，在可操作性上继承了方式①的优点，同时弥补了方式①速度区间不足的缺点，但也存在外推取值权威性不足的问题。</w:t>
      </w:r>
    </w:p>
    <w:p w14:paraId="2B9D57A9" w14:textId="77777777" w:rsidR="00FD6984" w:rsidRDefault="00000000">
      <w:pPr>
        <w:ind w:firstLineChars="200" w:firstLine="482"/>
        <w:rPr>
          <w:b/>
          <w:bCs/>
        </w:rPr>
      </w:pPr>
      <w:r>
        <w:rPr>
          <w:rFonts w:hint="eastAsia"/>
          <w:b/>
          <w:bCs/>
        </w:rPr>
        <w:t>对比来看，方式③继承沿用了国家标准</w:t>
      </w:r>
      <w:r>
        <w:rPr>
          <w:rFonts w:hint="eastAsia"/>
          <w:b/>
          <w:bCs/>
        </w:rPr>
        <w:t>GB/T 435</w:t>
      </w:r>
      <w:r>
        <w:rPr>
          <w:b/>
          <w:bCs/>
        </w:rPr>
        <w:t>2</w:t>
      </w:r>
      <w:r>
        <w:rPr>
          <w:rFonts w:hint="eastAsia"/>
          <w:b/>
          <w:bCs/>
        </w:rPr>
        <w:t>-2022</w:t>
      </w:r>
      <w:r>
        <w:rPr>
          <w:rFonts w:hint="eastAsia"/>
          <w:b/>
          <w:bCs/>
        </w:rPr>
        <w:t>和</w:t>
      </w:r>
      <w:r>
        <w:rPr>
          <w:rFonts w:hint="eastAsia"/>
          <w:b/>
          <w:bCs/>
        </w:rPr>
        <w:t>GB/T 4353-2022</w:t>
      </w:r>
      <w:r>
        <w:rPr>
          <w:rFonts w:hint="eastAsia"/>
          <w:b/>
          <w:bCs/>
        </w:rPr>
        <w:t>的取值，并进行了一定程度的补充完善，该方式综合较优。</w:t>
      </w:r>
    </w:p>
    <w:p w14:paraId="4E38AE3C" w14:textId="77777777" w:rsidR="00FD6984" w:rsidRDefault="00FD6984">
      <w:pPr>
        <w:ind w:firstLineChars="200" w:firstLine="482"/>
        <w:rPr>
          <w:b/>
          <w:bCs/>
        </w:rPr>
      </w:pPr>
    </w:p>
    <w:p w14:paraId="6F810458" w14:textId="77777777" w:rsidR="00FD6984" w:rsidRDefault="00000000">
      <w:pPr>
        <w:ind w:firstLineChars="200" w:firstLine="482"/>
        <w:rPr>
          <w:b/>
          <w:bCs/>
        </w:rPr>
      </w:pPr>
      <w:r>
        <w:rPr>
          <w:rFonts w:hint="eastAsia"/>
          <w:b/>
          <w:bCs/>
        </w:rPr>
        <w:t>（</w:t>
      </w:r>
      <w:r>
        <w:rPr>
          <w:rFonts w:hint="eastAsia"/>
          <w:b/>
          <w:bCs/>
        </w:rPr>
        <w:t>2</w:t>
      </w:r>
      <w:r>
        <w:rPr>
          <w:rFonts w:hint="eastAsia"/>
          <w:b/>
          <w:bCs/>
        </w:rPr>
        <w:t>）需借助高速公路运营平台获得的活动数据</w:t>
      </w:r>
    </w:p>
    <w:p w14:paraId="439087EC" w14:textId="77777777" w:rsidR="00FD6984" w:rsidRDefault="00000000">
      <w:pPr>
        <w:ind w:firstLineChars="200" w:firstLine="480"/>
      </w:pPr>
      <w:r>
        <w:rPr>
          <w:rFonts w:hint="eastAsia"/>
        </w:rPr>
        <w:t>高速公路运营</w:t>
      </w:r>
      <w:proofErr w:type="gramStart"/>
      <w:r>
        <w:rPr>
          <w:rFonts w:hint="eastAsia"/>
        </w:rPr>
        <w:t>期交通</w:t>
      </w:r>
      <w:proofErr w:type="gramEnd"/>
      <w:r>
        <w:rPr>
          <w:rFonts w:hint="eastAsia"/>
        </w:rPr>
        <w:t>活动数据来源是高速公路运营平台，包括高速公路联网收费系统以及高速公路网运行状态监测系统等。需借助高速公路运营平台获得的活动数据有：区间交通流量、区间车辆行驶里程、区间平均速度和货车</w:t>
      </w:r>
      <w:proofErr w:type="gramStart"/>
      <w:r>
        <w:rPr>
          <w:rFonts w:hint="eastAsia"/>
        </w:rPr>
        <w:t>载质量</w:t>
      </w:r>
      <w:proofErr w:type="gramEnd"/>
      <w:r>
        <w:rPr>
          <w:rFonts w:hint="eastAsia"/>
        </w:rPr>
        <w:t>变化值。</w:t>
      </w:r>
    </w:p>
    <w:p w14:paraId="1ABB4E91" w14:textId="77777777" w:rsidR="00FD6984" w:rsidRDefault="00000000">
      <w:pPr>
        <w:ind w:firstLineChars="200" w:firstLine="482"/>
        <w:rPr>
          <w:b/>
          <w:bCs/>
        </w:rPr>
      </w:pPr>
      <w:r>
        <w:rPr>
          <w:rFonts w:hint="eastAsia"/>
          <w:b/>
          <w:bCs/>
        </w:rPr>
        <w:lastRenderedPageBreak/>
        <w:t>（</w:t>
      </w:r>
      <w:r>
        <w:rPr>
          <w:rFonts w:hint="eastAsia"/>
          <w:b/>
          <w:bCs/>
        </w:rPr>
        <w:t>3</w:t>
      </w:r>
      <w:r>
        <w:rPr>
          <w:rFonts w:hint="eastAsia"/>
          <w:b/>
          <w:bCs/>
        </w:rPr>
        <w:t>）需定期更新的活动数据</w:t>
      </w:r>
    </w:p>
    <w:p w14:paraId="1EC1BE62" w14:textId="77777777" w:rsidR="00FD6984" w:rsidRDefault="00000000">
      <w:pPr>
        <w:ind w:firstLineChars="200" w:firstLine="480"/>
      </w:pPr>
      <w:r>
        <w:rPr>
          <w:rFonts w:hint="eastAsia"/>
        </w:rPr>
        <w:t>本文件对无法从高速公路运营平台获得的必要数据和参数进行定期更新。需定期更新的活动数据有：各车型基准能源消耗量和能源类型构成。</w:t>
      </w:r>
    </w:p>
    <w:p w14:paraId="09B187CD" w14:textId="77777777" w:rsidR="00FD6984" w:rsidRDefault="00000000">
      <w:pPr>
        <w:ind w:firstLineChars="200" w:firstLine="482"/>
        <w:rPr>
          <w:b/>
          <w:bCs/>
        </w:rPr>
      </w:pPr>
      <w:r>
        <w:rPr>
          <w:rFonts w:hint="eastAsia"/>
          <w:b/>
          <w:bCs/>
        </w:rPr>
        <w:t>（</w:t>
      </w:r>
      <w:r>
        <w:rPr>
          <w:rFonts w:hint="eastAsia"/>
          <w:b/>
          <w:bCs/>
        </w:rPr>
        <w:t>4</w:t>
      </w:r>
      <w:r>
        <w:rPr>
          <w:rFonts w:hint="eastAsia"/>
          <w:b/>
          <w:bCs/>
        </w:rPr>
        <w:t>）其他必要数据</w:t>
      </w:r>
    </w:p>
    <w:p w14:paraId="7AB380E9" w14:textId="77777777" w:rsidR="00FD6984" w:rsidRDefault="00000000">
      <w:pPr>
        <w:ind w:firstLineChars="200" w:firstLine="480"/>
      </w:pPr>
      <w:r>
        <w:rPr>
          <w:rFonts w:hint="eastAsia"/>
        </w:rPr>
        <w:t>本文件的核算方法还需要用到的必要数据包括：道路条件（类别）、气温条件。</w:t>
      </w:r>
    </w:p>
    <w:p w14:paraId="536568BF" w14:textId="77777777" w:rsidR="00FD6984" w:rsidRDefault="00000000">
      <w:pPr>
        <w:pStyle w:val="2"/>
      </w:pPr>
      <w:bookmarkStart w:id="34" w:name="_Toc169876062"/>
      <w:r>
        <w:rPr>
          <w:rFonts w:hint="eastAsia"/>
        </w:rPr>
        <w:t>排放因子</w:t>
      </w:r>
      <w:bookmarkEnd w:id="34"/>
    </w:p>
    <w:p w14:paraId="74705C32" w14:textId="77777777" w:rsidR="00FD6984" w:rsidRDefault="00000000">
      <w:pPr>
        <w:ind w:firstLineChars="200" w:firstLine="480"/>
      </w:pPr>
      <w:r>
        <w:rPr>
          <w:rFonts w:hint="eastAsia"/>
        </w:rPr>
        <w:t>因本文件核算范围包括化石燃料燃烧碳排放和消耗电力隐含的碳排放，运用排放因子法时，需收集化石燃料二氧化碳排放因子和区域电网的电力二氧化碳排放因子。</w:t>
      </w:r>
    </w:p>
    <w:p w14:paraId="158DF130" w14:textId="77777777" w:rsidR="00FD6984" w:rsidRDefault="00000000">
      <w:pPr>
        <w:ind w:firstLineChars="200" w:firstLine="480"/>
      </w:pPr>
      <w:r>
        <w:rPr>
          <w:rFonts w:hint="eastAsia"/>
        </w:rPr>
        <w:t>化石燃料二氧化碳排放因子可以通过公式进行计算，计算化石燃料二氧化碳排放因子时，需要收集各种车用燃料品种的单位发热量和含碳量、碳氧化率等参数。本标准中提供的化石燃料燃烧排放因子计算参数来源于《陆上交通运输企业温室气体排放核算方法与报告指南（试行）》（发改办气候〔</w:t>
      </w:r>
      <w:r>
        <w:rPr>
          <w:rFonts w:hint="eastAsia"/>
        </w:rPr>
        <w:t>2015</w:t>
      </w:r>
      <w:r>
        <w:rPr>
          <w:rFonts w:hint="eastAsia"/>
        </w:rPr>
        <w:t>〕</w:t>
      </w:r>
      <w:r>
        <w:rPr>
          <w:rFonts w:hint="eastAsia"/>
        </w:rPr>
        <w:t>1722</w:t>
      </w:r>
      <w:r>
        <w:rPr>
          <w:rFonts w:hint="eastAsia"/>
        </w:rPr>
        <w:t>号）。</w:t>
      </w:r>
    </w:p>
    <w:p w14:paraId="016A7E35" w14:textId="77777777" w:rsidR="00FD6984" w:rsidRDefault="00000000">
      <w:pPr>
        <w:ind w:firstLine="420"/>
      </w:pPr>
      <w:bookmarkStart w:id="35" w:name="_Hlk142592238"/>
      <w:r>
        <w:rPr>
          <w:rFonts w:hint="eastAsia"/>
        </w:rPr>
        <w:t>电力二氧化碳排放因子</w:t>
      </w:r>
      <m:oMath>
        <m:sSub>
          <m:sSubPr>
            <m:ctrlPr>
              <w:rPr>
                <w:rFonts w:ascii="Cambria Math" w:hAnsi="Cambria Math"/>
                <w:i/>
              </w:rPr>
            </m:ctrlPr>
          </m:sSubPr>
          <m:e>
            <m:r>
              <w:rPr>
                <w:rFonts w:ascii="Cambria Math" w:hAnsi="Cambria Math"/>
              </w:rPr>
              <m:t>EF</m:t>
            </m:r>
          </m:e>
          <m:sub>
            <m:r>
              <m:rPr>
                <m:sty m:val="p"/>
              </m:rPr>
              <w:rPr>
                <w:rFonts w:ascii="Cambria Math" w:hAnsi="Cambria Math"/>
              </w:rPr>
              <m:t>e</m:t>
            </m:r>
          </m:sub>
        </m:sSub>
      </m:oMath>
      <w:r>
        <w:rPr>
          <w:rFonts w:hint="eastAsia"/>
        </w:rPr>
        <w:t>应根据机动车电力消费所属的电网及全国电网划分情况进行确定并保持更新。选用相关主管部门公布的最近年份相应区域电网平均二氧化碳因子进行计算，并说明来源。</w:t>
      </w:r>
      <w:bookmarkEnd w:id="35"/>
    </w:p>
    <w:p w14:paraId="55C03C7F" w14:textId="77777777" w:rsidR="00FD6984" w:rsidRDefault="00000000">
      <w:pPr>
        <w:pStyle w:val="2"/>
      </w:pPr>
      <w:bookmarkStart w:id="36" w:name="_Toc169876063"/>
      <w:r>
        <w:rPr>
          <w:rFonts w:hint="eastAsia"/>
        </w:rPr>
        <w:t>不确定性分析</w:t>
      </w:r>
      <w:bookmarkEnd w:id="36"/>
    </w:p>
    <w:p w14:paraId="4ADDB0AC" w14:textId="76E3A0FA" w:rsidR="00FD6984" w:rsidRDefault="00000000">
      <w:pPr>
        <w:ind w:firstLineChars="200" w:firstLine="480"/>
      </w:pPr>
      <w:r>
        <w:rPr>
          <w:rFonts w:hint="eastAsia"/>
        </w:rPr>
        <w:t>在获取活动水平数据和相关参数时可能存在不确定性</w:t>
      </w:r>
      <w:r w:rsidR="00A14557">
        <w:rPr>
          <w:rFonts w:hint="eastAsia"/>
        </w:rPr>
        <w:t>，</w:t>
      </w:r>
      <w:r>
        <w:rPr>
          <w:rFonts w:hint="eastAsia"/>
        </w:rPr>
        <w:t>对活动水平数据和相关参数的不确定性以及降低不确定性的相关措施</w:t>
      </w:r>
      <w:r w:rsidR="00A14557">
        <w:rPr>
          <w:rFonts w:hint="eastAsia"/>
        </w:rPr>
        <w:t>应</w:t>
      </w:r>
      <w:r>
        <w:rPr>
          <w:rFonts w:hint="eastAsia"/>
        </w:rPr>
        <w:t>进行说明。</w:t>
      </w:r>
    </w:p>
    <w:p w14:paraId="35CF9CD6" w14:textId="77777777" w:rsidR="00FD6984" w:rsidRDefault="00000000">
      <w:pPr>
        <w:ind w:firstLineChars="200" w:firstLine="480"/>
      </w:pPr>
      <w:r>
        <w:rPr>
          <w:rFonts w:hint="eastAsia"/>
        </w:rPr>
        <w:t>不确定性产生的原因一般包括以下方面：</w:t>
      </w:r>
    </w:p>
    <w:p w14:paraId="78C09C39" w14:textId="77777777" w:rsidR="00FD6984" w:rsidRDefault="00000000">
      <w:pPr>
        <w:ind w:firstLineChars="200" w:firstLine="480"/>
      </w:pPr>
      <w:r>
        <w:rPr>
          <w:rFonts w:hint="eastAsia"/>
        </w:rPr>
        <w:t>a)</w:t>
      </w:r>
      <w:r>
        <w:rPr>
          <w:rFonts w:hint="eastAsia"/>
        </w:rPr>
        <w:tab/>
      </w:r>
      <w:r>
        <w:rPr>
          <w:rFonts w:hint="eastAsia"/>
        </w:rPr>
        <w:t>缺乏完整性：由于排放机理未被识别，无法获得监测结果及相关数据；</w:t>
      </w:r>
    </w:p>
    <w:p w14:paraId="103638C9" w14:textId="77777777" w:rsidR="00FD6984" w:rsidRDefault="00000000">
      <w:pPr>
        <w:ind w:firstLineChars="200" w:firstLine="480"/>
      </w:pPr>
      <w:r>
        <w:rPr>
          <w:rFonts w:hint="eastAsia"/>
        </w:rPr>
        <w:t>b)</w:t>
      </w:r>
      <w:r>
        <w:rPr>
          <w:rFonts w:hint="eastAsia"/>
        </w:rPr>
        <w:tab/>
      </w:r>
      <w:r>
        <w:rPr>
          <w:rFonts w:hint="eastAsia"/>
        </w:rPr>
        <w:t>数据缺失：在现有条件下无法获得或者难以获得相关数据，因而使用替代数据或其他估算、经验数据；</w:t>
      </w:r>
    </w:p>
    <w:p w14:paraId="0B2D3716" w14:textId="77777777" w:rsidR="00FD6984" w:rsidRDefault="00000000">
      <w:pPr>
        <w:ind w:firstLineChars="200" w:firstLine="480"/>
      </w:pPr>
      <w:r>
        <w:rPr>
          <w:rFonts w:hint="eastAsia"/>
        </w:rPr>
        <w:t>c)</w:t>
      </w:r>
      <w:r>
        <w:rPr>
          <w:rFonts w:hint="eastAsia"/>
        </w:rPr>
        <w:tab/>
      </w:r>
      <w:r>
        <w:rPr>
          <w:rFonts w:hint="eastAsia"/>
        </w:rPr>
        <w:t>数据缺乏代表性：获得的排放因子等参数与实际运行状态相差较大。</w:t>
      </w:r>
    </w:p>
    <w:p w14:paraId="60A70615" w14:textId="77777777" w:rsidR="00FD6984" w:rsidRDefault="00000000">
      <w:pPr>
        <w:ind w:firstLineChars="200" w:firstLine="480"/>
      </w:pPr>
      <w:r>
        <w:rPr>
          <w:rFonts w:hint="eastAsia"/>
        </w:rPr>
        <w:t>d)</w:t>
      </w:r>
      <w:r>
        <w:rPr>
          <w:rFonts w:hint="eastAsia"/>
        </w:rPr>
        <w:tab/>
      </w:r>
      <w:r>
        <w:rPr>
          <w:rFonts w:hint="eastAsia"/>
        </w:rPr>
        <w:t>测量误差：相关参数在测量时存在误差。</w:t>
      </w:r>
    </w:p>
    <w:p w14:paraId="02A12B39" w14:textId="77777777" w:rsidR="00FD6984" w:rsidRDefault="00000000">
      <w:pPr>
        <w:ind w:firstLineChars="200" w:firstLine="480"/>
      </w:pPr>
      <w:r>
        <w:rPr>
          <w:rFonts w:hint="eastAsia"/>
        </w:rPr>
        <w:t>不确定性量化分析方法参考附录</w:t>
      </w:r>
      <w:r>
        <w:rPr>
          <w:rFonts w:hint="eastAsia"/>
        </w:rPr>
        <w:t>E</w:t>
      </w:r>
      <w:r>
        <w:rPr>
          <w:rFonts w:hint="eastAsia"/>
        </w:rPr>
        <w:t>。</w:t>
      </w:r>
    </w:p>
    <w:p w14:paraId="7C03EA24" w14:textId="77777777" w:rsidR="00FD6984" w:rsidRDefault="00000000">
      <w:pPr>
        <w:pStyle w:val="2"/>
      </w:pPr>
      <w:bookmarkStart w:id="37" w:name="_Toc169876064"/>
      <w:r>
        <w:rPr>
          <w:rFonts w:hint="eastAsia"/>
        </w:rPr>
        <w:lastRenderedPageBreak/>
        <w:t>核算工作质量管理</w:t>
      </w:r>
      <w:bookmarkEnd w:id="37"/>
    </w:p>
    <w:p w14:paraId="3D3A6F60" w14:textId="7E3009FE" w:rsidR="00FD6984" w:rsidRDefault="00000000">
      <w:pPr>
        <w:ind w:firstLineChars="200" w:firstLine="480"/>
      </w:pPr>
      <w:r>
        <w:rPr>
          <w:rFonts w:hint="eastAsia"/>
        </w:rPr>
        <w:t>本标准规定了高速公路运营期</w:t>
      </w:r>
      <w:proofErr w:type="gramStart"/>
      <w:r>
        <w:rPr>
          <w:rFonts w:hint="eastAsia"/>
        </w:rPr>
        <w:t>移动源碳排放</w:t>
      </w:r>
      <w:proofErr w:type="gramEnd"/>
      <w:r>
        <w:rPr>
          <w:rFonts w:hint="eastAsia"/>
        </w:rPr>
        <w:t>核算</w:t>
      </w:r>
      <w:r w:rsidR="00A14557">
        <w:rPr>
          <w:rFonts w:hint="eastAsia"/>
        </w:rPr>
        <w:t>过程中</w:t>
      </w:r>
      <w:r>
        <w:rPr>
          <w:rFonts w:hint="eastAsia"/>
        </w:rPr>
        <w:t>在核算工作质量管理上的内容。应加强二氧化碳核算工作质量管理，建立相应的碳排放信息管理体系，包括但不限于：</w:t>
      </w:r>
    </w:p>
    <w:p w14:paraId="05CF8FDE" w14:textId="77777777" w:rsidR="00FD6984" w:rsidRDefault="00000000">
      <w:pPr>
        <w:ind w:firstLineChars="200" w:firstLine="480"/>
      </w:pPr>
      <w:r>
        <w:rPr>
          <w:rFonts w:hint="eastAsia"/>
        </w:rPr>
        <w:t>1)</w:t>
      </w:r>
      <w:r>
        <w:rPr>
          <w:rFonts w:hint="eastAsia"/>
        </w:rPr>
        <w:tab/>
      </w:r>
      <w:r>
        <w:rPr>
          <w:rFonts w:hint="eastAsia"/>
        </w:rPr>
        <w:t>建立二氧化碳排放核算和报告的规章制度，包括负责机构和人员、以及相应的职责和权限。</w:t>
      </w:r>
    </w:p>
    <w:p w14:paraId="06CEF0E6" w14:textId="77777777" w:rsidR="00FD6984" w:rsidRDefault="00000000">
      <w:pPr>
        <w:ind w:firstLineChars="200" w:firstLine="480"/>
      </w:pPr>
      <w:r>
        <w:rPr>
          <w:rFonts w:hint="eastAsia"/>
        </w:rPr>
        <w:t>2)</w:t>
      </w:r>
      <w:r>
        <w:rPr>
          <w:rFonts w:hint="eastAsia"/>
        </w:rPr>
        <w:tab/>
      </w:r>
      <w:r>
        <w:rPr>
          <w:rFonts w:hint="eastAsia"/>
        </w:rPr>
        <w:t>建立健全二氧化碳信息管理程序文件，文件应至少包括文件和记录管理程序、二氧化碳排放核算和报告程序以及数据质量管理程序；</w:t>
      </w:r>
    </w:p>
    <w:p w14:paraId="4BFC5257" w14:textId="77777777" w:rsidR="00FD6984" w:rsidRDefault="00000000">
      <w:pPr>
        <w:ind w:firstLineChars="200" w:firstLine="480"/>
      </w:pPr>
      <w:r>
        <w:rPr>
          <w:rFonts w:hint="eastAsia"/>
        </w:rPr>
        <w:t>3)</w:t>
      </w:r>
      <w:r>
        <w:rPr>
          <w:rFonts w:hint="eastAsia"/>
        </w:rPr>
        <w:tab/>
      </w:r>
      <w:r>
        <w:rPr>
          <w:rFonts w:hint="eastAsia"/>
        </w:rPr>
        <w:t>为了保证效率和完整性，应该相关数据质量管理方案整合到已有的管理体系中，并按照表</w:t>
      </w:r>
      <w:r>
        <w:t>6</w:t>
      </w:r>
      <w:r>
        <w:rPr>
          <w:rFonts w:hint="eastAsia"/>
        </w:rPr>
        <w:t>中的措施开展数据质量管理工作。</w:t>
      </w:r>
    </w:p>
    <w:p w14:paraId="29EFA295" w14:textId="77777777" w:rsidR="00FD6984" w:rsidRDefault="00000000">
      <w:pPr>
        <w:ind w:firstLineChars="200" w:firstLine="480"/>
      </w:pPr>
      <w:r>
        <w:rPr>
          <w:rFonts w:hint="eastAsia"/>
        </w:rPr>
        <w:t>4)</w:t>
      </w:r>
      <w:r>
        <w:rPr>
          <w:rFonts w:hint="eastAsia"/>
        </w:rPr>
        <w:tab/>
      </w:r>
      <w:r>
        <w:rPr>
          <w:rFonts w:hint="eastAsia"/>
        </w:rPr>
        <w:t>建立二氧化碳排放报告内部审核制度。定期对二氧化碳排放数据进行交叉校验，对可能产生的数据误差风险进行识别，并提出相应的解决方案。</w:t>
      </w:r>
    </w:p>
    <w:p w14:paraId="693CF2D6" w14:textId="4C161575" w:rsidR="00FD6984" w:rsidRDefault="00000000">
      <w:pPr>
        <w:pStyle w:val="a3"/>
      </w:pPr>
      <w:bookmarkStart w:id="38" w:name="_Ref147677697"/>
      <w:r>
        <w:t>表</w:t>
      </w:r>
      <w:r>
        <w:t xml:space="preserve"> </w:t>
      </w:r>
      <w:r>
        <w:fldChar w:fldCharType="begin"/>
      </w:r>
      <w:r>
        <w:instrText xml:space="preserve"> SEQ </w:instrText>
      </w:r>
      <w:r>
        <w:instrText>表</w:instrText>
      </w:r>
      <w:r>
        <w:instrText xml:space="preserve"> \* ARABIC </w:instrText>
      </w:r>
      <w:r>
        <w:fldChar w:fldCharType="separate"/>
      </w:r>
      <w:r w:rsidR="00CD3467">
        <w:rPr>
          <w:noProof/>
        </w:rPr>
        <w:t>13</w:t>
      </w:r>
      <w:r>
        <w:fldChar w:fldCharType="end"/>
      </w:r>
      <w:bookmarkEnd w:id="38"/>
      <w:r>
        <w:t xml:space="preserve"> </w:t>
      </w:r>
      <w:r>
        <w:rPr>
          <w:rFonts w:hint="eastAsia"/>
        </w:rPr>
        <w:t>核算工作质量管理方案</w:t>
      </w:r>
    </w:p>
    <w:tbl>
      <w:tblPr>
        <w:tblStyle w:val="ae"/>
        <w:tblW w:w="5225" w:type="pct"/>
        <w:tblLook w:val="04A0" w:firstRow="1" w:lastRow="0" w:firstColumn="1" w:lastColumn="0" w:noHBand="0" w:noVBand="1"/>
      </w:tblPr>
      <w:tblGrid>
        <w:gridCol w:w="2974"/>
        <w:gridCol w:w="5931"/>
      </w:tblGrid>
      <w:tr w:rsidR="00FD6984" w14:paraId="21EFCA44" w14:textId="77777777">
        <w:trPr>
          <w:trHeight w:val="629"/>
          <w:tblHeader/>
        </w:trPr>
        <w:tc>
          <w:tcPr>
            <w:tcW w:w="1670" w:type="pct"/>
            <w:tcBorders>
              <w:top w:val="single" w:sz="12" w:space="0" w:color="auto"/>
              <w:left w:val="single" w:sz="12" w:space="0" w:color="auto"/>
              <w:bottom w:val="single" w:sz="12" w:space="0" w:color="auto"/>
            </w:tcBorders>
            <w:vAlign w:val="center"/>
          </w:tcPr>
          <w:p w14:paraId="623CEB3C" w14:textId="77777777" w:rsidR="00FD6984" w:rsidRDefault="00000000">
            <w:pPr>
              <w:pStyle w:val="af9"/>
            </w:pPr>
            <w:r>
              <w:rPr>
                <w:rFonts w:hint="eastAsia"/>
              </w:rPr>
              <w:t>二氧化碳排放核算工作质量</w:t>
            </w:r>
          </w:p>
        </w:tc>
        <w:tc>
          <w:tcPr>
            <w:tcW w:w="3330" w:type="pct"/>
            <w:tcBorders>
              <w:top w:val="single" w:sz="12" w:space="0" w:color="auto"/>
              <w:bottom w:val="single" w:sz="12" w:space="0" w:color="auto"/>
              <w:right w:val="single" w:sz="12" w:space="0" w:color="auto"/>
            </w:tcBorders>
            <w:vAlign w:val="center"/>
          </w:tcPr>
          <w:p w14:paraId="5619416D" w14:textId="77777777" w:rsidR="00FD6984" w:rsidRDefault="00000000">
            <w:pPr>
              <w:pStyle w:val="af9"/>
            </w:pPr>
            <w:r>
              <w:rPr>
                <w:rFonts w:hint="eastAsia"/>
              </w:rPr>
              <w:t>管理内容</w:t>
            </w:r>
          </w:p>
        </w:tc>
      </w:tr>
      <w:tr w:rsidR="00FD6984" w14:paraId="5622E06F" w14:textId="77777777">
        <w:trPr>
          <w:trHeight w:val="622"/>
        </w:trPr>
        <w:tc>
          <w:tcPr>
            <w:tcW w:w="1670" w:type="pct"/>
            <w:tcBorders>
              <w:top w:val="single" w:sz="12" w:space="0" w:color="auto"/>
              <w:left w:val="single" w:sz="12" w:space="0" w:color="auto"/>
            </w:tcBorders>
            <w:vAlign w:val="center"/>
          </w:tcPr>
          <w:p w14:paraId="072F5A1D" w14:textId="77777777" w:rsidR="00FD6984" w:rsidRDefault="00000000">
            <w:pPr>
              <w:pStyle w:val="af9"/>
            </w:pPr>
            <w:r>
              <w:rPr>
                <w:rFonts w:hint="eastAsia"/>
              </w:rPr>
              <w:t>数据收集、输入与处理检查</w:t>
            </w:r>
          </w:p>
        </w:tc>
        <w:tc>
          <w:tcPr>
            <w:tcW w:w="3330" w:type="pct"/>
            <w:tcBorders>
              <w:top w:val="single" w:sz="12" w:space="0" w:color="auto"/>
              <w:right w:val="single" w:sz="12" w:space="0" w:color="auto"/>
            </w:tcBorders>
            <w:vAlign w:val="center"/>
          </w:tcPr>
          <w:p w14:paraId="3EA0C1FC" w14:textId="77777777" w:rsidR="00FD6984" w:rsidRDefault="00000000" w:rsidP="00056CF0">
            <w:pPr>
              <w:pStyle w:val="af9"/>
              <w:jc w:val="left"/>
            </w:pPr>
            <w:r>
              <w:rPr>
                <w:rFonts w:hint="eastAsia"/>
              </w:rPr>
              <w:t>数据完整性的确定；</w:t>
            </w:r>
          </w:p>
          <w:p w14:paraId="383EA3E9" w14:textId="77777777" w:rsidR="00FD6984" w:rsidRDefault="00000000" w:rsidP="00056CF0">
            <w:pPr>
              <w:pStyle w:val="af9"/>
              <w:jc w:val="left"/>
            </w:pPr>
            <w:r>
              <w:rPr>
                <w:rFonts w:hint="eastAsia"/>
              </w:rPr>
              <w:t>确保对电子文档实施适当的版本控制程序。</w:t>
            </w:r>
          </w:p>
        </w:tc>
      </w:tr>
      <w:tr w:rsidR="00FD6984" w14:paraId="1E817D94" w14:textId="77777777">
        <w:trPr>
          <w:trHeight w:val="941"/>
        </w:trPr>
        <w:tc>
          <w:tcPr>
            <w:tcW w:w="1670" w:type="pct"/>
            <w:tcBorders>
              <w:left w:val="single" w:sz="12" w:space="0" w:color="auto"/>
            </w:tcBorders>
            <w:vAlign w:val="center"/>
          </w:tcPr>
          <w:p w14:paraId="1308E469" w14:textId="77777777" w:rsidR="00FD6984" w:rsidRDefault="00000000">
            <w:pPr>
              <w:pStyle w:val="af9"/>
            </w:pPr>
            <w:r>
              <w:rPr>
                <w:rFonts w:hint="eastAsia"/>
              </w:rPr>
              <w:t>活动数据检查</w:t>
            </w:r>
          </w:p>
        </w:tc>
        <w:tc>
          <w:tcPr>
            <w:tcW w:w="3330" w:type="pct"/>
            <w:tcBorders>
              <w:right w:val="single" w:sz="12" w:space="0" w:color="auto"/>
            </w:tcBorders>
            <w:vAlign w:val="center"/>
          </w:tcPr>
          <w:p w14:paraId="572F3AB4" w14:textId="77777777" w:rsidR="00FD6984" w:rsidRDefault="00000000" w:rsidP="00056CF0">
            <w:pPr>
              <w:pStyle w:val="af9"/>
              <w:jc w:val="left"/>
            </w:pPr>
            <w:r>
              <w:rPr>
                <w:rFonts w:hint="eastAsia"/>
              </w:rPr>
              <w:t>确保活动数据统计的完整性；</w:t>
            </w:r>
          </w:p>
          <w:p w14:paraId="49EBEBD3" w14:textId="77777777" w:rsidR="00FD6984" w:rsidRDefault="00000000" w:rsidP="00056CF0">
            <w:pPr>
              <w:pStyle w:val="af9"/>
              <w:jc w:val="left"/>
            </w:pPr>
            <w:r>
              <w:rPr>
                <w:rFonts w:hint="eastAsia"/>
              </w:rPr>
              <w:t>核对活动数据计算的正确性；</w:t>
            </w:r>
          </w:p>
          <w:p w14:paraId="7AC2CEB9" w14:textId="77777777" w:rsidR="00FD6984" w:rsidRDefault="00000000" w:rsidP="00056CF0">
            <w:pPr>
              <w:pStyle w:val="af9"/>
              <w:jc w:val="left"/>
            </w:pPr>
            <w:r>
              <w:rPr>
                <w:rFonts w:hint="eastAsia"/>
              </w:rPr>
              <w:t>对活动数据实施交叉检验；</w:t>
            </w:r>
          </w:p>
        </w:tc>
      </w:tr>
      <w:tr w:rsidR="00FD6984" w14:paraId="1A8E58B9" w14:textId="77777777">
        <w:trPr>
          <w:trHeight w:val="956"/>
        </w:trPr>
        <w:tc>
          <w:tcPr>
            <w:tcW w:w="1670" w:type="pct"/>
            <w:tcBorders>
              <w:left w:val="single" w:sz="12" w:space="0" w:color="auto"/>
            </w:tcBorders>
            <w:vAlign w:val="center"/>
          </w:tcPr>
          <w:p w14:paraId="68BB5FAB" w14:textId="77777777" w:rsidR="00FD6984" w:rsidRDefault="00000000">
            <w:pPr>
              <w:pStyle w:val="af9"/>
            </w:pPr>
            <w:r>
              <w:rPr>
                <w:rFonts w:hint="eastAsia"/>
              </w:rPr>
              <w:t>排放因子检查</w:t>
            </w:r>
          </w:p>
        </w:tc>
        <w:tc>
          <w:tcPr>
            <w:tcW w:w="3330" w:type="pct"/>
            <w:tcBorders>
              <w:right w:val="single" w:sz="12" w:space="0" w:color="auto"/>
            </w:tcBorders>
            <w:vAlign w:val="center"/>
          </w:tcPr>
          <w:p w14:paraId="77521934" w14:textId="77777777" w:rsidR="00FD6984" w:rsidRDefault="00000000" w:rsidP="00056CF0">
            <w:pPr>
              <w:pStyle w:val="af9"/>
              <w:jc w:val="left"/>
            </w:pPr>
            <w:r>
              <w:rPr>
                <w:rFonts w:hint="eastAsia"/>
              </w:rPr>
              <w:t>核对排放因子的单位及转换；</w:t>
            </w:r>
          </w:p>
          <w:p w14:paraId="239DEA49" w14:textId="77777777" w:rsidR="00FD6984" w:rsidRDefault="00000000" w:rsidP="00056CF0">
            <w:pPr>
              <w:pStyle w:val="af9"/>
              <w:jc w:val="left"/>
            </w:pPr>
            <w:r>
              <w:rPr>
                <w:rFonts w:hint="eastAsia"/>
              </w:rPr>
              <w:t>确认排放因子的合理性；</w:t>
            </w:r>
          </w:p>
          <w:p w14:paraId="7C31B8E0" w14:textId="77777777" w:rsidR="00FD6984" w:rsidRDefault="00000000" w:rsidP="00056CF0">
            <w:pPr>
              <w:pStyle w:val="af9"/>
              <w:jc w:val="left"/>
            </w:pPr>
            <w:r>
              <w:rPr>
                <w:rFonts w:hint="eastAsia"/>
              </w:rPr>
              <w:t>确保排放因子的时效性。</w:t>
            </w:r>
          </w:p>
        </w:tc>
      </w:tr>
      <w:tr w:rsidR="00FD6984" w14:paraId="2ACE62E9" w14:textId="77777777">
        <w:trPr>
          <w:trHeight w:val="622"/>
        </w:trPr>
        <w:tc>
          <w:tcPr>
            <w:tcW w:w="1670" w:type="pct"/>
            <w:tcBorders>
              <w:left w:val="single" w:sz="12" w:space="0" w:color="auto"/>
            </w:tcBorders>
            <w:vAlign w:val="center"/>
          </w:tcPr>
          <w:p w14:paraId="61EE61AF" w14:textId="77777777" w:rsidR="00FD6984" w:rsidRDefault="00000000">
            <w:pPr>
              <w:pStyle w:val="af9"/>
            </w:pPr>
            <w:r>
              <w:rPr>
                <w:rFonts w:hint="eastAsia"/>
              </w:rPr>
              <w:t>排放量计算过程检查</w:t>
            </w:r>
          </w:p>
        </w:tc>
        <w:tc>
          <w:tcPr>
            <w:tcW w:w="3330" w:type="pct"/>
            <w:tcBorders>
              <w:right w:val="single" w:sz="12" w:space="0" w:color="auto"/>
            </w:tcBorders>
            <w:vAlign w:val="center"/>
          </w:tcPr>
          <w:p w14:paraId="1126646C" w14:textId="77777777" w:rsidR="00FD6984" w:rsidRDefault="00000000" w:rsidP="00056CF0">
            <w:pPr>
              <w:pStyle w:val="af9"/>
              <w:jc w:val="left"/>
            </w:pPr>
            <w:r>
              <w:rPr>
                <w:rFonts w:hint="eastAsia"/>
              </w:rPr>
              <w:t>核算方法是否正确；</w:t>
            </w:r>
          </w:p>
          <w:p w14:paraId="08E741A7" w14:textId="77777777" w:rsidR="00FD6984" w:rsidRDefault="00000000" w:rsidP="00056CF0">
            <w:pPr>
              <w:pStyle w:val="af9"/>
              <w:jc w:val="left"/>
            </w:pPr>
            <w:r>
              <w:rPr>
                <w:rFonts w:hint="eastAsia"/>
              </w:rPr>
              <w:t>与历年数据的比较。</w:t>
            </w:r>
          </w:p>
        </w:tc>
      </w:tr>
      <w:tr w:rsidR="00FD6984" w14:paraId="3EBA731C" w14:textId="77777777">
        <w:trPr>
          <w:trHeight w:val="1260"/>
        </w:trPr>
        <w:tc>
          <w:tcPr>
            <w:tcW w:w="1670" w:type="pct"/>
            <w:tcBorders>
              <w:left w:val="single" w:sz="12" w:space="0" w:color="auto"/>
              <w:bottom w:val="single" w:sz="12" w:space="0" w:color="auto"/>
            </w:tcBorders>
            <w:vAlign w:val="center"/>
          </w:tcPr>
          <w:p w14:paraId="4AB543CF" w14:textId="77777777" w:rsidR="00FD6984" w:rsidRDefault="00000000">
            <w:pPr>
              <w:pStyle w:val="af9"/>
            </w:pPr>
            <w:r>
              <w:rPr>
                <w:rFonts w:hint="eastAsia"/>
              </w:rPr>
              <w:t>数据处理步骤检查</w:t>
            </w:r>
          </w:p>
        </w:tc>
        <w:tc>
          <w:tcPr>
            <w:tcW w:w="3330" w:type="pct"/>
            <w:tcBorders>
              <w:bottom w:val="single" w:sz="12" w:space="0" w:color="auto"/>
              <w:right w:val="single" w:sz="12" w:space="0" w:color="auto"/>
            </w:tcBorders>
            <w:vAlign w:val="center"/>
          </w:tcPr>
          <w:p w14:paraId="26F73AC3" w14:textId="77777777" w:rsidR="00FD6984" w:rsidRDefault="00000000" w:rsidP="00056CF0">
            <w:pPr>
              <w:pStyle w:val="af9"/>
              <w:jc w:val="left"/>
            </w:pPr>
            <w:r>
              <w:rPr>
                <w:rFonts w:hint="eastAsia"/>
              </w:rPr>
              <w:t>核对是否对输入数据和计算获得的数据进行了明确的区分；</w:t>
            </w:r>
          </w:p>
          <w:p w14:paraId="75960727" w14:textId="77777777" w:rsidR="00FD6984" w:rsidRDefault="00000000" w:rsidP="00056CF0">
            <w:pPr>
              <w:pStyle w:val="af9"/>
              <w:jc w:val="left"/>
            </w:pPr>
            <w:r>
              <w:rPr>
                <w:rFonts w:hint="eastAsia"/>
              </w:rPr>
              <w:t>手工或电子的方式核对具有代表性的计算样本；</w:t>
            </w:r>
          </w:p>
          <w:p w14:paraId="179D6BD7" w14:textId="77777777" w:rsidR="00FD6984" w:rsidRDefault="00000000" w:rsidP="00056CF0">
            <w:pPr>
              <w:pStyle w:val="af9"/>
              <w:jc w:val="left"/>
            </w:pPr>
            <w:r>
              <w:rPr>
                <w:rFonts w:hint="eastAsia"/>
              </w:rPr>
              <w:t>核对输入和计算在时间序列上的一致性；</w:t>
            </w:r>
          </w:p>
          <w:p w14:paraId="0D3ED693" w14:textId="77777777" w:rsidR="00FD6984" w:rsidRDefault="00000000" w:rsidP="00056CF0">
            <w:pPr>
              <w:pStyle w:val="af9"/>
              <w:jc w:val="left"/>
            </w:pPr>
            <w:r>
              <w:rPr>
                <w:rFonts w:hint="eastAsia"/>
              </w:rPr>
              <w:t>同类排放源在不同地区和时间的交叉比较。</w:t>
            </w:r>
          </w:p>
        </w:tc>
      </w:tr>
    </w:tbl>
    <w:p w14:paraId="11DECB5F" w14:textId="77777777" w:rsidR="00FD6984" w:rsidRDefault="00FD6984"/>
    <w:p w14:paraId="2B2CB8F4" w14:textId="77777777" w:rsidR="00FD6984" w:rsidRDefault="00000000">
      <w:pPr>
        <w:pStyle w:val="2"/>
      </w:pPr>
      <w:bookmarkStart w:id="39" w:name="_Toc169876065"/>
      <w:r>
        <w:rPr>
          <w:rFonts w:hint="eastAsia"/>
        </w:rPr>
        <w:lastRenderedPageBreak/>
        <w:t>报告内容和格式</w:t>
      </w:r>
      <w:bookmarkEnd w:id="39"/>
    </w:p>
    <w:p w14:paraId="6DC04061" w14:textId="7BB211E5" w:rsidR="00FD6984" w:rsidRDefault="00000000">
      <w:pPr>
        <w:ind w:firstLineChars="200" w:firstLine="480"/>
      </w:pPr>
      <w:r>
        <w:rPr>
          <w:rFonts w:hint="eastAsia"/>
        </w:rPr>
        <w:t>本标准对应披露的报告内容及报告格式进行了规定，包括核算</w:t>
      </w:r>
      <w:r w:rsidR="00A14557">
        <w:rPr>
          <w:rFonts w:hint="eastAsia"/>
        </w:rPr>
        <w:t>对象</w:t>
      </w:r>
      <w:r>
        <w:rPr>
          <w:rFonts w:hint="eastAsia"/>
        </w:rPr>
        <w:t>基本信息、二氧化碳排放量、活动数据及其来源和排放因子及其来源。</w:t>
      </w:r>
    </w:p>
    <w:p w14:paraId="0372BDFB" w14:textId="4065A87C" w:rsidR="00FD6984" w:rsidRDefault="00000000">
      <w:pPr>
        <w:ind w:firstLineChars="200" w:firstLine="480"/>
      </w:pPr>
      <w:r>
        <w:rPr>
          <w:rFonts w:hint="eastAsia"/>
        </w:rPr>
        <w:t>（</w:t>
      </w:r>
      <w:r>
        <w:rPr>
          <w:rFonts w:hint="eastAsia"/>
        </w:rPr>
        <w:t>1</w:t>
      </w:r>
      <w:r>
        <w:rPr>
          <w:rFonts w:hint="eastAsia"/>
        </w:rPr>
        <w:t>）</w:t>
      </w:r>
      <w:r w:rsidR="00A14557">
        <w:rPr>
          <w:rFonts w:hint="eastAsia"/>
        </w:rPr>
        <w:t>核算对象</w:t>
      </w:r>
      <w:r>
        <w:rPr>
          <w:rFonts w:hint="eastAsia"/>
        </w:rPr>
        <w:t>基本信息</w:t>
      </w:r>
    </w:p>
    <w:p w14:paraId="61EC9A11" w14:textId="059312CC" w:rsidR="00FD6984" w:rsidRDefault="00000000">
      <w:pPr>
        <w:pStyle w:val="af4"/>
        <w:ind w:firstLine="480"/>
      </w:pPr>
      <w:r>
        <w:rPr>
          <w:rFonts w:hint="eastAsia"/>
        </w:rPr>
        <w:t>基本信息应包括核算</w:t>
      </w:r>
      <w:r w:rsidR="00A14557">
        <w:rPr>
          <w:rFonts w:hint="eastAsia"/>
        </w:rPr>
        <w:t>对象</w:t>
      </w:r>
      <w:r>
        <w:rPr>
          <w:rFonts w:hint="eastAsia"/>
        </w:rPr>
        <w:t>名称、单位性质、报告年度、所属行业、统一社会信用代码、法定代表人、填报负责人、联系人信息、运营期移动源核算边界及排放源的详细说明</w:t>
      </w:r>
    </w:p>
    <w:p w14:paraId="4CDF5791" w14:textId="77777777" w:rsidR="00FD6984" w:rsidRDefault="00000000">
      <w:pPr>
        <w:pStyle w:val="af4"/>
        <w:ind w:firstLine="480"/>
      </w:pPr>
      <w:r>
        <w:rPr>
          <w:rFonts w:hint="eastAsia"/>
        </w:rPr>
        <w:t>（</w:t>
      </w:r>
      <w:r>
        <w:rPr>
          <w:rFonts w:hint="eastAsia"/>
        </w:rPr>
        <w:t>2</w:t>
      </w:r>
      <w:r>
        <w:rPr>
          <w:rFonts w:hint="eastAsia"/>
        </w:rPr>
        <w:t>）核算边界说明</w:t>
      </w:r>
    </w:p>
    <w:p w14:paraId="2F2F23E7" w14:textId="7644DD5E" w:rsidR="00FD6984" w:rsidRDefault="00000000">
      <w:pPr>
        <w:pStyle w:val="af4"/>
        <w:ind w:firstLine="480"/>
      </w:pPr>
      <w:r>
        <w:rPr>
          <w:rFonts w:hint="eastAsia"/>
        </w:rPr>
        <w:t>应对高速公路运营期移动源核算边界、排放源以及报告期进行说明。</w:t>
      </w:r>
    </w:p>
    <w:p w14:paraId="3E8120AC" w14:textId="77777777" w:rsidR="00FD6984" w:rsidRDefault="00000000">
      <w:pPr>
        <w:ind w:firstLineChars="200" w:firstLine="480"/>
      </w:pPr>
      <w:r>
        <w:rPr>
          <w:rFonts w:hint="eastAsia"/>
        </w:rPr>
        <w:t>（</w:t>
      </w:r>
      <w:r>
        <w:t>3</w:t>
      </w:r>
      <w:r>
        <w:rPr>
          <w:rFonts w:hint="eastAsia"/>
        </w:rPr>
        <w:t>）移动源二氧化碳排放量</w:t>
      </w:r>
    </w:p>
    <w:p w14:paraId="7ACF3275" w14:textId="4AED675E" w:rsidR="00FD6984" w:rsidRDefault="00000000">
      <w:pPr>
        <w:ind w:firstLineChars="200" w:firstLine="480"/>
      </w:pPr>
      <w:r>
        <w:rPr>
          <w:rFonts w:hint="eastAsia"/>
        </w:rPr>
        <w:t>应根据行业主管部门要求按一定时间频率（年度、季度或月度）报告运营期移动源二氧化碳排放总量，并按照主线核算区间、收费站核算区间、服务区核算区间分别报告化石燃料燃烧直接碳排放量、消耗电力隐含碳排放量。</w:t>
      </w:r>
    </w:p>
    <w:p w14:paraId="79CFB9BF" w14:textId="77777777" w:rsidR="00FD6984" w:rsidRDefault="00000000">
      <w:pPr>
        <w:ind w:firstLineChars="200" w:firstLine="480"/>
      </w:pPr>
      <w:r>
        <w:rPr>
          <w:rFonts w:hint="eastAsia"/>
        </w:rPr>
        <w:t>（</w:t>
      </w:r>
      <w:r>
        <w:rPr>
          <w:rFonts w:hint="eastAsia"/>
        </w:rPr>
        <w:t>4</w:t>
      </w:r>
      <w:r>
        <w:rPr>
          <w:rFonts w:hint="eastAsia"/>
        </w:rPr>
        <w:t>）活动数据及其来源</w:t>
      </w:r>
    </w:p>
    <w:p w14:paraId="3115CF58" w14:textId="10A363AF" w:rsidR="00FD6984" w:rsidRDefault="00000000">
      <w:pPr>
        <w:ind w:firstLineChars="200" w:firstLine="480"/>
      </w:pPr>
      <w:r>
        <w:rPr>
          <w:rFonts w:hint="eastAsia"/>
        </w:rPr>
        <w:t>应报告在报告期内参与碳排放核算的各核算区间分车型交通量、区间车辆里程、区间平均速度、道路条件、气温条件；各类车型的基准能源消耗量。并说明这些数据的来源。</w:t>
      </w:r>
    </w:p>
    <w:p w14:paraId="2CC03FA8" w14:textId="77777777" w:rsidR="00FD6984" w:rsidRDefault="00000000">
      <w:pPr>
        <w:ind w:firstLineChars="200" w:firstLine="480"/>
      </w:pPr>
      <w:r>
        <w:rPr>
          <w:rFonts w:hint="eastAsia"/>
        </w:rPr>
        <w:t>（</w:t>
      </w:r>
      <w:r>
        <w:rPr>
          <w:rFonts w:hint="eastAsia"/>
        </w:rPr>
        <w:t>5</w:t>
      </w:r>
      <w:r>
        <w:rPr>
          <w:rFonts w:hint="eastAsia"/>
        </w:rPr>
        <w:t>）排放因子及其来源</w:t>
      </w:r>
    </w:p>
    <w:p w14:paraId="6656DDF4" w14:textId="6733DE94" w:rsidR="00FD6984" w:rsidRDefault="00000000">
      <w:pPr>
        <w:ind w:firstLineChars="200" w:firstLine="480"/>
      </w:pPr>
      <w:r>
        <w:rPr>
          <w:rFonts w:hint="eastAsia"/>
        </w:rPr>
        <w:t>应报告在报告期内使用的燃料二氧化碳排放因子及其计算参数、电力消费排放因子等数据，并说明这些数据的来源。</w:t>
      </w:r>
    </w:p>
    <w:p w14:paraId="2D8DD63F" w14:textId="77777777" w:rsidR="00FD6984" w:rsidRDefault="00000000">
      <w:pPr>
        <w:ind w:firstLineChars="200" w:firstLine="480"/>
      </w:pPr>
      <w:r>
        <w:rPr>
          <w:rFonts w:hint="eastAsia"/>
        </w:rPr>
        <w:t>（</w:t>
      </w:r>
      <w:r>
        <w:rPr>
          <w:rFonts w:hint="eastAsia"/>
        </w:rPr>
        <w:t>6</w:t>
      </w:r>
      <w:r>
        <w:rPr>
          <w:rFonts w:hint="eastAsia"/>
        </w:rPr>
        <w:t>）其他需要说明的情况</w:t>
      </w:r>
    </w:p>
    <w:p w14:paraId="35610B59" w14:textId="64E0860E" w:rsidR="00FD6984" w:rsidRDefault="00000000">
      <w:pPr>
        <w:ind w:firstLineChars="200" w:firstLine="480"/>
      </w:pPr>
      <w:r>
        <w:rPr>
          <w:rFonts w:hint="eastAsia"/>
        </w:rPr>
        <w:t>其他需要说明的情况包括核算结果不确定性说明；报告内容符合标准要求的情况说明；</w:t>
      </w:r>
      <w:r w:rsidR="00A14557">
        <w:rPr>
          <w:rFonts w:hint="eastAsia"/>
        </w:rPr>
        <w:t>运营管理企业</w:t>
      </w:r>
      <w:r>
        <w:rPr>
          <w:rFonts w:hint="eastAsia"/>
        </w:rPr>
        <w:t>在高速公路运营期</w:t>
      </w:r>
      <w:proofErr w:type="gramStart"/>
      <w:r>
        <w:rPr>
          <w:rFonts w:hint="eastAsia"/>
        </w:rPr>
        <w:t>移动源碳排放</w:t>
      </w:r>
      <w:proofErr w:type="gramEnd"/>
      <w:r>
        <w:rPr>
          <w:rFonts w:hint="eastAsia"/>
        </w:rPr>
        <w:t>管</w:t>
      </w:r>
      <w:proofErr w:type="gramStart"/>
      <w:r>
        <w:rPr>
          <w:rFonts w:hint="eastAsia"/>
        </w:rPr>
        <w:t>控方面</w:t>
      </w:r>
      <w:proofErr w:type="gramEnd"/>
      <w:r>
        <w:rPr>
          <w:rFonts w:hint="eastAsia"/>
        </w:rPr>
        <w:t>的工作情况，例如拥堵治理、优化收费效率等；报告真实性声明等内容。</w:t>
      </w:r>
    </w:p>
    <w:p w14:paraId="66FD34B7" w14:textId="77777777" w:rsidR="00FD6984" w:rsidRDefault="00000000">
      <w:pPr>
        <w:pStyle w:val="2"/>
      </w:pPr>
      <w:bookmarkStart w:id="40" w:name="_Toc169876066"/>
      <w:r>
        <w:rPr>
          <w:rFonts w:hint="eastAsia"/>
        </w:rPr>
        <w:t>附录</w:t>
      </w:r>
      <w:bookmarkEnd w:id="40"/>
    </w:p>
    <w:p w14:paraId="1ADC3317" w14:textId="09AA8747" w:rsidR="00FD6984" w:rsidRDefault="00000000">
      <w:pPr>
        <w:ind w:firstLineChars="200" w:firstLine="480"/>
      </w:pPr>
      <w:r w:rsidRPr="00A14557">
        <w:rPr>
          <w:rFonts w:hint="eastAsia"/>
        </w:rPr>
        <w:t>本标准共提供了</w:t>
      </w:r>
      <w:r w:rsidR="00A14557" w:rsidRPr="00A14557">
        <w:rPr>
          <w:rFonts w:hint="eastAsia"/>
        </w:rPr>
        <w:t>6</w:t>
      </w:r>
      <w:r w:rsidRPr="00A14557">
        <w:rPr>
          <w:rFonts w:hint="eastAsia"/>
        </w:rPr>
        <w:t>个资料性附录</w:t>
      </w:r>
      <w:r w:rsidR="00A14557" w:rsidRPr="00A14557">
        <w:rPr>
          <w:rFonts w:hint="eastAsia"/>
        </w:rPr>
        <w:t>说明</w:t>
      </w:r>
      <w:r w:rsidRPr="00A14557">
        <w:rPr>
          <w:rFonts w:hint="eastAsia"/>
        </w:rPr>
        <w:t>，有</w:t>
      </w:r>
      <w:r>
        <w:rPr>
          <w:rFonts w:hint="eastAsia"/>
        </w:rPr>
        <w:t>效解决本标准中核算方法所需的数据来源问题。附录</w:t>
      </w:r>
      <w:r>
        <w:rPr>
          <w:rFonts w:hint="eastAsia"/>
        </w:rPr>
        <w:t>A</w:t>
      </w:r>
      <w:r>
        <w:rPr>
          <w:rFonts w:hint="eastAsia"/>
        </w:rPr>
        <w:t>给出了高速公路移动排放源分类的详细信息。附录</w:t>
      </w:r>
      <w:r>
        <w:rPr>
          <w:rFonts w:hint="eastAsia"/>
        </w:rPr>
        <w:t>B</w:t>
      </w:r>
      <w:r>
        <w:rPr>
          <w:rFonts w:hint="eastAsia"/>
        </w:rPr>
        <w:t>给出了核算必需的各车型能耗参考值。附录</w:t>
      </w:r>
      <w:r>
        <w:rPr>
          <w:rFonts w:hint="eastAsia"/>
        </w:rPr>
        <w:t>C</w:t>
      </w:r>
      <w:r>
        <w:rPr>
          <w:rFonts w:hint="eastAsia"/>
        </w:rPr>
        <w:t>给出排放因子参数的取值及数据来源，其中包括汽油、柴油、天然气等化石燃料的低位发热量、单位热值含碳量、</w:t>
      </w:r>
      <w:r>
        <w:rPr>
          <w:rFonts w:hint="eastAsia"/>
        </w:rPr>
        <w:lastRenderedPageBreak/>
        <w:t>碳氧化率、密度等。附录</w:t>
      </w:r>
      <w:r>
        <w:rPr>
          <w:rFonts w:hint="eastAsia"/>
        </w:rPr>
        <w:t>D</w:t>
      </w:r>
      <w:r>
        <w:rPr>
          <w:rFonts w:hint="eastAsia"/>
        </w:rPr>
        <w:t>给出了高速公路车辆能源类型分类统计数据。附录</w:t>
      </w:r>
      <w:r>
        <w:rPr>
          <w:rFonts w:hint="eastAsia"/>
        </w:rPr>
        <w:t>E</w:t>
      </w:r>
      <w:r>
        <w:rPr>
          <w:rFonts w:hint="eastAsia"/>
        </w:rPr>
        <w:t>给出了本标准推荐采用的不确定性量化方法。附录</w:t>
      </w:r>
      <w:r>
        <w:rPr>
          <w:rFonts w:hint="eastAsia"/>
        </w:rPr>
        <w:t>F</w:t>
      </w:r>
      <w:r>
        <w:rPr>
          <w:rFonts w:hint="eastAsia"/>
        </w:rPr>
        <w:t>给出了高速公路运营期</w:t>
      </w:r>
      <w:proofErr w:type="gramStart"/>
      <w:r>
        <w:rPr>
          <w:rFonts w:hint="eastAsia"/>
        </w:rPr>
        <w:t>移动源碳排放</w:t>
      </w:r>
      <w:proofErr w:type="gramEnd"/>
      <w:r>
        <w:rPr>
          <w:rFonts w:hint="eastAsia"/>
        </w:rPr>
        <w:t>报告格式模版。</w:t>
      </w:r>
    </w:p>
    <w:p w14:paraId="0B4CB678" w14:textId="77777777" w:rsidR="00FD6984" w:rsidRDefault="00000000">
      <w:pPr>
        <w:pStyle w:val="1"/>
      </w:pPr>
      <w:bookmarkStart w:id="41" w:name="_Toc169876067"/>
      <w:r>
        <w:rPr>
          <w:rFonts w:hint="eastAsia"/>
        </w:rPr>
        <w:t>主要工作过程</w:t>
      </w:r>
      <w:bookmarkEnd w:id="41"/>
    </w:p>
    <w:p w14:paraId="1900C6EE" w14:textId="77777777" w:rsidR="00FD6984" w:rsidRDefault="00000000">
      <w:pPr>
        <w:ind w:firstLineChars="200" w:firstLine="480"/>
      </w:pPr>
      <w:r>
        <w:rPr>
          <w:rFonts w:hint="eastAsia"/>
        </w:rPr>
        <w:t>2</w:t>
      </w:r>
      <w:r>
        <w:t>023</w:t>
      </w:r>
      <w:r>
        <w:rPr>
          <w:rFonts w:hint="eastAsia"/>
        </w:rPr>
        <w:t>年</w:t>
      </w:r>
      <w:r>
        <w:rPr>
          <w:rFonts w:hint="eastAsia"/>
        </w:rPr>
        <w:t>4</w:t>
      </w:r>
      <w:r>
        <w:rPr>
          <w:rFonts w:hint="eastAsia"/>
        </w:rPr>
        <w:t>月，广东省市场监督管理局对立项地方标准进行公示。</w:t>
      </w:r>
    </w:p>
    <w:p w14:paraId="4DDC47D1" w14:textId="77777777" w:rsidR="00FD6984" w:rsidRDefault="00000000">
      <w:pPr>
        <w:ind w:firstLineChars="200" w:firstLine="480"/>
      </w:pPr>
      <w:r>
        <w:rPr>
          <w:rFonts w:hint="eastAsia"/>
        </w:rPr>
        <w:t>2023</w:t>
      </w:r>
      <w:r>
        <w:rPr>
          <w:rFonts w:hint="eastAsia"/>
        </w:rPr>
        <w:t>年</w:t>
      </w:r>
      <w:r>
        <w:rPr>
          <w:rFonts w:hint="eastAsia"/>
        </w:rPr>
        <w:t>4</w:t>
      </w:r>
      <w:r>
        <w:rPr>
          <w:rFonts w:hint="eastAsia"/>
        </w:rPr>
        <w:t>月，召开本标准的工作大纲专家咨询会，重点讨论标准编制的研究方法。</w:t>
      </w:r>
    </w:p>
    <w:p w14:paraId="16BBEEFA" w14:textId="77777777" w:rsidR="00FD6984" w:rsidRDefault="00000000">
      <w:pPr>
        <w:ind w:firstLineChars="200" w:firstLine="480"/>
      </w:pPr>
      <w:r>
        <w:rPr>
          <w:rFonts w:hint="eastAsia"/>
        </w:rPr>
        <w:t>2023</w:t>
      </w:r>
      <w:r>
        <w:rPr>
          <w:rFonts w:hint="eastAsia"/>
        </w:rPr>
        <w:t>年</w:t>
      </w:r>
      <w:r>
        <w:rPr>
          <w:rFonts w:hint="eastAsia"/>
        </w:rPr>
        <w:t>5</w:t>
      </w:r>
      <w:r>
        <w:rPr>
          <w:rFonts w:hint="eastAsia"/>
        </w:rPr>
        <w:t>月，广东省市场监督管理局正式下发标准立项的通知。</w:t>
      </w:r>
    </w:p>
    <w:p w14:paraId="42CB9C53" w14:textId="77777777" w:rsidR="00FD6984" w:rsidRDefault="00000000">
      <w:pPr>
        <w:ind w:firstLineChars="200" w:firstLine="480"/>
      </w:pPr>
      <w:r>
        <w:rPr>
          <w:rFonts w:hint="eastAsia"/>
        </w:rPr>
        <w:t>2023</w:t>
      </w:r>
      <w:r>
        <w:rPr>
          <w:rFonts w:hint="eastAsia"/>
        </w:rPr>
        <w:t>年</w:t>
      </w:r>
      <w:r>
        <w:rPr>
          <w:rFonts w:hint="eastAsia"/>
        </w:rPr>
        <w:t>6</w:t>
      </w:r>
      <w:r>
        <w:rPr>
          <w:rFonts w:hint="eastAsia"/>
        </w:rPr>
        <w:t>月，标准编制组召开标准的第一次工作会议，确定工作分工、人员及进度安排。</w:t>
      </w:r>
    </w:p>
    <w:p w14:paraId="1838FC23" w14:textId="77777777" w:rsidR="00FD6984" w:rsidRDefault="00000000">
      <w:pPr>
        <w:ind w:firstLineChars="200" w:firstLine="480"/>
      </w:pPr>
      <w:r>
        <w:rPr>
          <w:rFonts w:hint="eastAsia"/>
        </w:rPr>
        <w:t>2</w:t>
      </w:r>
      <w:r>
        <w:t>023</w:t>
      </w:r>
      <w:r>
        <w:rPr>
          <w:rFonts w:hint="eastAsia"/>
        </w:rPr>
        <w:t>年</w:t>
      </w:r>
      <w:r>
        <w:t>7</w:t>
      </w:r>
      <w:r>
        <w:rPr>
          <w:rFonts w:hint="eastAsia"/>
        </w:rPr>
        <w:t>月，标准编制组完成了标准编写工作大纲并报送广东省交通运输标准化技术委员会公路运养分会审核。</w:t>
      </w:r>
    </w:p>
    <w:p w14:paraId="5D2D9857" w14:textId="77777777" w:rsidR="00FD6984" w:rsidRDefault="00000000">
      <w:pPr>
        <w:ind w:firstLineChars="200" w:firstLine="480"/>
      </w:pPr>
      <w:r>
        <w:rPr>
          <w:rFonts w:hint="eastAsia"/>
        </w:rPr>
        <w:t>2023</w:t>
      </w:r>
      <w:r>
        <w:rPr>
          <w:rFonts w:hint="eastAsia"/>
        </w:rPr>
        <w:t>年</w:t>
      </w:r>
      <w:r>
        <w:rPr>
          <w:rFonts w:hint="eastAsia"/>
        </w:rPr>
        <w:t>9</w:t>
      </w:r>
      <w:r>
        <w:rPr>
          <w:rFonts w:hint="eastAsia"/>
        </w:rPr>
        <w:t>月，完成标准初稿，并提交至广东省交通运输标准化技术委员会公路运养分会审核。</w:t>
      </w:r>
    </w:p>
    <w:p w14:paraId="393A2257" w14:textId="77777777" w:rsidR="00FD6984" w:rsidRDefault="00000000">
      <w:pPr>
        <w:ind w:firstLineChars="200" w:firstLine="480"/>
      </w:pPr>
      <w:r>
        <w:rPr>
          <w:rFonts w:hint="eastAsia"/>
        </w:rPr>
        <w:t>2</w:t>
      </w:r>
      <w:r>
        <w:t>023</w:t>
      </w:r>
      <w:r>
        <w:rPr>
          <w:rFonts w:hint="eastAsia"/>
        </w:rPr>
        <w:t>年</w:t>
      </w:r>
      <w:r>
        <w:rPr>
          <w:rFonts w:hint="eastAsia"/>
        </w:rPr>
        <w:t>1</w:t>
      </w:r>
      <w:r>
        <w:t>0</w:t>
      </w:r>
      <w:r>
        <w:rPr>
          <w:rFonts w:hint="eastAsia"/>
        </w:rPr>
        <w:t>月，标准编制组在广东省交通运输厅召开了标准初稿内部研讨会。</w:t>
      </w:r>
    </w:p>
    <w:p w14:paraId="06442A31" w14:textId="77777777" w:rsidR="00FD6984" w:rsidRDefault="00000000">
      <w:pPr>
        <w:ind w:firstLineChars="200" w:firstLine="480"/>
      </w:pPr>
      <w:r>
        <w:rPr>
          <w:rFonts w:hint="eastAsia"/>
        </w:rPr>
        <w:t>2023</w:t>
      </w:r>
      <w:r>
        <w:rPr>
          <w:rFonts w:hint="eastAsia"/>
        </w:rPr>
        <w:t>年</w:t>
      </w:r>
      <w:r>
        <w:rPr>
          <w:rFonts w:hint="eastAsia"/>
        </w:rPr>
        <w:t>11</w:t>
      </w:r>
      <w:r>
        <w:rPr>
          <w:rFonts w:hint="eastAsia"/>
        </w:rPr>
        <w:t>月，标准编制组以广深、</w:t>
      </w:r>
      <w:proofErr w:type="gramStart"/>
      <w:r>
        <w:rPr>
          <w:rFonts w:hint="eastAsia"/>
        </w:rPr>
        <w:t>韶</w:t>
      </w:r>
      <w:proofErr w:type="gramEnd"/>
      <w:r>
        <w:rPr>
          <w:rFonts w:hint="eastAsia"/>
        </w:rPr>
        <w:t>赣及广河广州三条高速公路作为案例进行碳排放试算，并于</w:t>
      </w:r>
      <w:r>
        <w:rPr>
          <w:rFonts w:hint="eastAsia"/>
        </w:rPr>
        <w:t>11</w:t>
      </w:r>
      <w:r>
        <w:rPr>
          <w:rFonts w:hint="eastAsia"/>
        </w:rPr>
        <w:t>月</w:t>
      </w:r>
      <w:r>
        <w:rPr>
          <w:rFonts w:hint="eastAsia"/>
        </w:rPr>
        <w:t>21</w:t>
      </w:r>
      <w:r>
        <w:rPr>
          <w:rFonts w:hint="eastAsia"/>
        </w:rPr>
        <w:t>日，与三条高速的业主单位进行汇报沟通，征求相关意见。</w:t>
      </w:r>
    </w:p>
    <w:p w14:paraId="00135154" w14:textId="77777777" w:rsidR="00FD6984" w:rsidRDefault="00000000">
      <w:pPr>
        <w:ind w:firstLineChars="200" w:firstLine="480"/>
      </w:pPr>
      <w:r>
        <w:rPr>
          <w:rFonts w:hint="eastAsia"/>
        </w:rPr>
        <w:t>2</w:t>
      </w:r>
      <w:r>
        <w:t>023</w:t>
      </w:r>
      <w:r>
        <w:rPr>
          <w:rFonts w:hint="eastAsia"/>
        </w:rPr>
        <w:t>年</w:t>
      </w:r>
      <w:r>
        <w:rPr>
          <w:rFonts w:hint="eastAsia"/>
        </w:rPr>
        <w:t>1</w:t>
      </w:r>
      <w:r>
        <w:t>2</w:t>
      </w:r>
      <w:r>
        <w:rPr>
          <w:rFonts w:hint="eastAsia"/>
        </w:rPr>
        <w:t>月</w:t>
      </w:r>
      <w:r>
        <w:rPr>
          <w:rFonts w:hint="eastAsia"/>
        </w:rPr>
        <w:t>2</w:t>
      </w:r>
      <w:r>
        <w:t>1</w:t>
      </w:r>
      <w:r>
        <w:rPr>
          <w:rFonts w:hint="eastAsia"/>
        </w:rPr>
        <w:t>日，标准编制组经广东省交通运输标准化技术委员会公路运养分技术委员会审核同意，在广东省交通运输厅召开了初稿审查会。</w:t>
      </w:r>
    </w:p>
    <w:p w14:paraId="0023A77C" w14:textId="77777777" w:rsidR="00FD6984" w:rsidRDefault="00000000">
      <w:pPr>
        <w:ind w:firstLineChars="200" w:firstLine="480"/>
      </w:pPr>
      <w:r>
        <w:rPr>
          <w:rFonts w:hint="eastAsia"/>
        </w:rPr>
        <w:t>2024</w:t>
      </w:r>
      <w:r>
        <w:rPr>
          <w:rFonts w:hint="eastAsia"/>
        </w:rPr>
        <w:t>年</w:t>
      </w:r>
      <w:r>
        <w:rPr>
          <w:rFonts w:hint="eastAsia"/>
        </w:rPr>
        <w:t>1</w:t>
      </w:r>
      <w:r>
        <w:rPr>
          <w:rFonts w:hint="eastAsia"/>
        </w:rPr>
        <w:t>月</w:t>
      </w:r>
      <w:r>
        <w:rPr>
          <w:rFonts w:hint="eastAsia"/>
        </w:rPr>
        <w:t>24</w:t>
      </w:r>
      <w:r>
        <w:rPr>
          <w:rFonts w:hint="eastAsia"/>
        </w:rPr>
        <w:t>日，标准编制组经广东省交通运输标准化技术委员会公路运养分技术委员会审核同意，向有关单位进行征求意见，</w:t>
      </w:r>
    </w:p>
    <w:p w14:paraId="72DCFAB7" w14:textId="77777777" w:rsidR="00FD6984" w:rsidRPr="00A14557" w:rsidRDefault="00000000">
      <w:pPr>
        <w:ind w:firstLineChars="200" w:firstLine="480"/>
      </w:pPr>
      <w:r w:rsidRPr="00A14557">
        <w:rPr>
          <w:rFonts w:hint="eastAsia"/>
        </w:rPr>
        <w:t>2024</w:t>
      </w:r>
      <w:r w:rsidRPr="00A14557">
        <w:rPr>
          <w:rFonts w:hint="eastAsia"/>
        </w:rPr>
        <w:t>年</w:t>
      </w:r>
      <w:r w:rsidRPr="00A14557">
        <w:rPr>
          <w:rFonts w:hint="eastAsia"/>
        </w:rPr>
        <w:t>3</w:t>
      </w:r>
      <w:r w:rsidRPr="00A14557">
        <w:rPr>
          <w:rFonts w:hint="eastAsia"/>
        </w:rPr>
        <w:t>月</w:t>
      </w:r>
      <w:r w:rsidRPr="00A14557">
        <w:rPr>
          <w:rFonts w:hint="eastAsia"/>
        </w:rPr>
        <w:t>31</w:t>
      </w:r>
      <w:r w:rsidRPr="00A14557">
        <w:rPr>
          <w:rFonts w:hint="eastAsia"/>
        </w:rPr>
        <w:t>日，共征求得到</w:t>
      </w:r>
      <w:r w:rsidRPr="00A14557">
        <w:rPr>
          <w:rFonts w:hint="eastAsia"/>
        </w:rPr>
        <w:t>10</w:t>
      </w:r>
      <w:r w:rsidRPr="00A14557">
        <w:rPr>
          <w:rFonts w:hint="eastAsia"/>
        </w:rPr>
        <w:t>个单位（名单见表</w:t>
      </w:r>
      <w:r w:rsidRPr="00A14557">
        <w:rPr>
          <w:rFonts w:hint="eastAsia"/>
        </w:rPr>
        <w:t>14</w:t>
      </w:r>
      <w:r w:rsidRPr="00A14557">
        <w:rPr>
          <w:rFonts w:hint="eastAsia"/>
        </w:rPr>
        <w:t>）共</w:t>
      </w:r>
      <w:r w:rsidRPr="00A14557">
        <w:rPr>
          <w:rFonts w:hint="eastAsia"/>
        </w:rPr>
        <w:t>54</w:t>
      </w:r>
      <w:r w:rsidRPr="00A14557">
        <w:rPr>
          <w:rFonts w:hint="eastAsia"/>
        </w:rPr>
        <w:t>条意见。</w:t>
      </w:r>
    </w:p>
    <w:p w14:paraId="228B2E98" w14:textId="77777777" w:rsidR="00FD6984" w:rsidRDefault="00000000">
      <w:pPr>
        <w:ind w:firstLineChars="200" w:firstLine="480"/>
      </w:pPr>
      <w:r w:rsidRPr="00A14557">
        <w:rPr>
          <w:rFonts w:hint="eastAsia"/>
        </w:rPr>
        <w:t>2024</w:t>
      </w:r>
      <w:r w:rsidRPr="00A14557">
        <w:rPr>
          <w:rFonts w:hint="eastAsia"/>
        </w:rPr>
        <w:t>年</w:t>
      </w:r>
      <w:r w:rsidRPr="00A14557">
        <w:rPr>
          <w:rFonts w:hint="eastAsia"/>
        </w:rPr>
        <w:t>6</w:t>
      </w:r>
      <w:r w:rsidRPr="00A14557">
        <w:rPr>
          <w:rFonts w:hint="eastAsia"/>
        </w:rPr>
        <w:t>月，完成标准修编并向主审人汇报。</w:t>
      </w:r>
    </w:p>
    <w:p w14:paraId="74877C51" w14:textId="77777777" w:rsidR="00056CF0" w:rsidRDefault="00056CF0">
      <w:pPr>
        <w:ind w:firstLineChars="200" w:firstLine="480"/>
      </w:pPr>
    </w:p>
    <w:p w14:paraId="38B2763C" w14:textId="77777777" w:rsidR="00056CF0" w:rsidRDefault="00056CF0">
      <w:pPr>
        <w:ind w:firstLineChars="200" w:firstLine="480"/>
      </w:pPr>
    </w:p>
    <w:p w14:paraId="7D8EB327" w14:textId="77777777" w:rsidR="00056CF0" w:rsidRPr="00A14557" w:rsidRDefault="00056CF0">
      <w:pPr>
        <w:ind w:firstLineChars="200" w:firstLine="480"/>
        <w:rPr>
          <w:rFonts w:hint="eastAsia"/>
        </w:rPr>
      </w:pPr>
    </w:p>
    <w:p w14:paraId="70049012" w14:textId="7D3AB4DE" w:rsidR="00FD6984" w:rsidRDefault="00000000">
      <w:pPr>
        <w:pStyle w:val="a3"/>
        <w:keepNext/>
      </w:pPr>
      <w:r>
        <w:rPr>
          <w:rFonts w:hint="eastAsia"/>
        </w:rPr>
        <w:lastRenderedPageBreak/>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CD3467">
        <w:rPr>
          <w:noProof/>
        </w:rPr>
        <w:t>14</w:t>
      </w:r>
      <w:r>
        <w:fldChar w:fldCharType="end"/>
      </w:r>
      <w:r>
        <w:rPr>
          <w:rFonts w:hint="eastAsia"/>
        </w:rPr>
        <w:t xml:space="preserve"> </w:t>
      </w:r>
      <w:r>
        <w:rPr>
          <w:rFonts w:hint="eastAsia"/>
        </w:rPr>
        <w:t>有关单位名单</w:t>
      </w:r>
    </w:p>
    <w:tbl>
      <w:tblPr>
        <w:tblStyle w:val="ae"/>
        <w:tblW w:w="5018" w:type="pct"/>
        <w:tblLook w:val="04A0" w:firstRow="1" w:lastRow="0" w:firstColumn="1" w:lastColumn="0" w:noHBand="0" w:noVBand="1"/>
      </w:tblPr>
      <w:tblGrid>
        <w:gridCol w:w="960"/>
        <w:gridCol w:w="7593"/>
      </w:tblGrid>
      <w:tr w:rsidR="00FD6984" w14:paraId="71926A4E" w14:textId="77777777">
        <w:trPr>
          <w:trHeight w:val="298"/>
        </w:trPr>
        <w:tc>
          <w:tcPr>
            <w:tcW w:w="561" w:type="pct"/>
            <w:vAlign w:val="center"/>
          </w:tcPr>
          <w:p w14:paraId="7A17FD0B" w14:textId="77777777" w:rsidR="00FD6984" w:rsidRDefault="00000000">
            <w:pPr>
              <w:spacing w:line="240" w:lineRule="auto"/>
              <w:jc w:val="center"/>
              <w:rPr>
                <w:rFonts w:ascii="宋体" w:hAnsi="宋体"/>
                <w:b/>
                <w:bCs/>
                <w:szCs w:val="24"/>
              </w:rPr>
            </w:pPr>
            <w:r>
              <w:rPr>
                <w:rFonts w:ascii="宋体" w:hAnsi="宋体" w:hint="eastAsia"/>
                <w:b/>
                <w:bCs/>
                <w:color w:val="000000"/>
                <w:szCs w:val="24"/>
              </w:rPr>
              <w:t>序号</w:t>
            </w:r>
          </w:p>
        </w:tc>
        <w:tc>
          <w:tcPr>
            <w:tcW w:w="4439" w:type="pct"/>
            <w:vAlign w:val="center"/>
          </w:tcPr>
          <w:p w14:paraId="05538E9A" w14:textId="77777777" w:rsidR="00FD6984" w:rsidRDefault="00000000">
            <w:pPr>
              <w:spacing w:line="240" w:lineRule="auto"/>
              <w:jc w:val="center"/>
              <w:rPr>
                <w:rFonts w:ascii="宋体" w:hAnsi="宋体"/>
                <w:b/>
                <w:bCs/>
                <w:szCs w:val="24"/>
              </w:rPr>
            </w:pPr>
            <w:r>
              <w:rPr>
                <w:rFonts w:ascii="宋体" w:hAnsi="宋体" w:hint="eastAsia"/>
                <w:b/>
                <w:bCs/>
                <w:color w:val="000000"/>
                <w:szCs w:val="24"/>
              </w:rPr>
              <w:t>单位名称</w:t>
            </w:r>
          </w:p>
        </w:tc>
      </w:tr>
      <w:tr w:rsidR="00FD6984" w14:paraId="2E551154" w14:textId="77777777">
        <w:trPr>
          <w:trHeight w:val="298"/>
        </w:trPr>
        <w:tc>
          <w:tcPr>
            <w:tcW w:w="561" w:type="pct"/>
            <w:vAlign w:val="center"/>
          </w:tcPr>
          <w:p w14:paraId="190533AA" w14:textId="77777777" w:rsidR="00FD6984" w:rsidRDefault="00000000">
            <w:pPr>
              <w:spacing w:line="240" w:lineRule="auto"/>
              <w:jc w:val="center"/>
              <w:rPr>
                <w:rFonts w:ascii="宋体" w:hAnsi="宋体"/>
                <w:szCs w:val="24"/>
              </w:rPr>
            </w:pPr>
            <w:r>
              <w:rPr>
                <w:rFonts w:ascii="宋体" w:hAnsi="宋体" w:hint="eastAsia"/>
                <w:color w:val="000000"/>
                <w:szCs w:val="24"/>
              </w:rPr>
              <w:t>1</w:t>
            </w:r>
          </w:p>
        </w:tc>
        <w:tc>
          <w:tcPr>
            <w:tcW w:w="4439" w:type="pct"/>
            <w:vAlign w:val="center"/>
          </w:tcPr>
          <w:p w14:paraId="779BC803" w14:textId="77777777" w:rsidR="00FD6984" w:rsidRDefault="00000000">
            <w:pPr>
              <w:spacing w:line="240" w:lineRule="auto"/>
              <w:jc w:val="center"/>
              <w:rPr>
                <w:rFonts w:ascii="宋体" w:hAnsi="宋体"/>
                <w:szCs w:val="24"/>
              </w:rPr>
            </w:pPr>
            <w:r>
              <w:rPr>
                <w:rFonts w:ascii="宋体" w:hAnsi="宋体" w:hint="eastAsia"/>
                <w:color w:val="000000"/>
                <w:szCs w:val="24"/>
              </w:rPr>
              <w:t>广东省高速公路有限公司</w:t>
            </w:r>
          </w:p>
        </w:tc>
      </w:tr>
      <w:tr w:rsidR="00FD6984" w14:paraId="63E184E0" w14:textId="77777777">
        <w:trPr>
          <w:trHeight w:val="298"/>
        </w:trPr>
        <w:tc>
          <w:tcPr>
            <w:tcW w:w="561" w:type="pct"/>
            <w:vAlign w:val="center"/>
          </w:tcPr>
          <w:p w14:paraId="10868F45" w14:textId="77777777" w:rsidR="00FD6984" w:rsidRDefault="00000000">
            <w:pPr>
              <w:spacing w:line="240" w:lineRule="auto"/>
              <w:jc w:val="center"/>
              <w:rPr>
                <w:rFonts w:ascii="宋体" w:hAnsi="宋体"/>
                <w:szCs w:val="24"/>
              </w:rPr>
            </w:pPr>
            <w:r>
              <w:rPr>
                <w:rFonts w:ascii="宋体" w:hAnsi="宋体" w:hint="eastAsia"/>
                <w:color w:val="000000"/>
                <w:szCs w:val="24"/>
              </w:rPr>
              <w:t>2</w:t>
            </w:r>
          </w:p>
        </w:tc>
        <w:tc>
          <w:tcPr>
            <w:tcW w:w="4439" w:type="pct"/>
            <w:vAlign w:val="center"/>
          </w:tcPr>
          <w:p w14:paraId="1533160C" w14:textId="77777777" w:rsidR="00FD6984" w:rsidRDefault="00000000">
            <w:pPr>
              <w:spacing w:line="240" w:lineRule="auto"/>
              <w:jc w:val="center"/>
              <w:rPr>
                <w:rFonts w:ascii="宋体" w:hAnsi="宋体"/>
                <w:szCs w:val="24"/>
              </w:rPr>
            </w:pPr>
            <w:r>
              <w:rPr>
                <w:rFonts w:ascii="宋体" w:hAnsi="宋体" w:hint="eastAsia"/>
                <w:color w:val="000000"/>
                <w:szCs w:val="24"/>
              </w:rPr>
              <w:t>广东省公路建设有限公司</w:t>
            </w:r>
          </w:p>
        </w:tc>
      </w:tr>
      <w:tr w:rsidR="00FD6984" w14:paraId="694B53D6" w14:textId="77777777">
        <w:trPr>
          <w:trHeight w:val="298"/>
        </w:trPr>
        <w:tc>
          <w:tcPr>
            <w:tcW w:w="561" w:type="pct"/>
            <w:vAlign w:val="center"/>
          </w:tcPr>
          <w:p w14:paraId="5DB38042" w14:textId="77777777" w:rsidR="00FD6984" w:rsidRDefault="00000000">
            <w:pPr>
              <w:spacing w:line="240" w:lineRule="auto"/>
              <w:jc w:val="center"/>
              <w:rPr>
                <w:rFonts w:ascii="宋体" w:hAnsi="宋体"/>
                <w:szCs w:val="24"/>
              </w:rPr>
            </w:pPr>
            <w:r>
              <w:rPr>
                <w:rFonts w:ascii="宋体" w:hAnsi="宋体" w:hint="eastAsia"/>
                <w:color w:val="000000"/>
                <w:szCs w:val="24"/>
              </w:rPr>
              <w:t>3</w:t>
            </w:r>
          </w:p>
        </w:tc>
        <w:tc>
          <w:tcPr>
            <w:tcW w:w="4439" w:type="pct"/>
            <w:vAlign w:val="center"/>
          </w:tcPr>
          <w:p w14:paraId="4A4C399F" w14:textId="77777777" w:rsidR="00FD6984" w:rsidRDefault="00000000">
            <w:pPr>
              <w:spacing w:line="240" w:lineRule="auto"/>
              <w:jc w:val="center"/>
              <w:rPr>
                <w:rFonts w:ascii="宋体" w:hAnsi="宋体"/>
                <w:szCs w:val="24"/>
              </w:rPr>
            </w:pPr>
            <w:r>
              <w:rPr>
                <w:rFonts w:ascii="宋体" w:hAnsi="宋体" w:hint="eastAsia"/>
                <w:color w:val="000000"/>
                <w:szCs w:val="24"/>
              </w:rPr>
              <w:t>广东</w:t>
            </w:r>
            <w:proofErr w:type="gramStart"/>
            <w:r>
              <w:rPr>
                <w:rFonts w:ascii="宋体" w:hAnsi="宋体" w:hint="eastAsia"/>
                <w:color w:val="000000"/>
                <w:szCs w:val="24"/>
              </w:rPr>
              <w:t>佛清广</w:t>
            </w:r>
            <w:proofErr w:type="gramEnd"/>
            <w:r>
              <w:rPr>
                <w:rFonts w:ascii="宋体" w:hAnsi="宋体" w:hint="eastAsia"/>
                <w:color w:val="000000"/>
                <w:szCs w:val="24"/>
              </w:rPr>
              <w:t>高速公路发展有限公司</w:t>
            </w:r>
          </w:p>
        </w:tc>
      </w:tr>
      <w:tr w:rsidR="00FD6984" w14:paraId="3CE2C0AA" w14:textId="77777777">
        <w:trPr>
          <w:trHeight w:val="298"/>
        </w:trPr>
        <w:tc>
          <w:tcPr>
            <w:tcW w:w="561" w:type="pct"/>
            <w:vAlign w:val="center"/>
          </w:tcPr>
          <w:p w14:paraId="09DC3919" w14:textId="77777777" w:rsidR="00FD6984" w:rsidRDefault="00000000">
            <w:pPr>
              <w:spacing w:line="240" w:lineRule="auto"/>
              <w:jc w:val="center"/>
              <w:rPr>
                <w:rFonts w:ascii="宋体" w:hAnsi="宋体"/>
                <w:szCs w:val="24"/>
              </w:rPr>
            </w:pPr>
            <w:r>
              <w:rPr>
                <w:rFonts w:ascii="宋体" w:hAnsi="宋体" w:hint="eastAsia"/>
                <w:color w:val="000000"/>
                <w:szCs w:val="24"/>
              </w:rPr>
              <w:t>4</w:t>
            </w:r>
          </w:p>
        </w:tc>
        <w:tc>
          <w:tcPr>
            <w:tcW w:w="4439" w:type="pct"/>
            <w:vAlign w:val="center"/>
          </w:tcPr>
          <w:p w14:paraId="60872D53" w14:textId="77777777" w:rsidR="00FD6984" w:rsidRDefault="00000000">
            <w:pPr>
              <w:spacing w:line="240" w:lineRule="auto"/>
              <w:jc w:val="center"/>
              <w:rPr>
                <w:rFonts w:ascii="宋体" w:hAnsi="宋体"/>
                <w:szCs w:val="24"/>
              </w:rPr>
            </w:pPr>
            <w:r>
              <w:rPr>
                <w:rFonts w:ascii="宋体" w:hAnsi="宋体" w:hint="eastAsia"/>
                <w:color w:val="000000"/>
                <w:szCs w:val="24"/>
              </w:rPr>
              <w:t>中国科学院广州能源研究所</w:t>
            </w:r>
          </w:p>
        </w:tc>
      </w:tr>
      <w:tr w:rsidR="00FD6984" w14:paraId="6F56EADB" w14:textId="77777777">
        <w:trPr>
          <w:trHeight w:val="298"/>
        </w:trPr>
        <w:tc>
          <w:tcPr>
            <w:tcW w:w="561" w:type="pct"/>
            <w:vAlign w:val="center"/>
          </w:tcPr>
          <w:p w14:paraId="620608BB" w14:textId="77777777" w:rsidR="00FD6984" w:rsidRDefault="00000000">
            <w:pPr>
              <w:spacing w:line="240" w:lineRule="auto"/>
              <w:jc w:val="center"/>
              <w:rPr>
                <w:rFonts w:ascii="宋体" w:hAnsi="宋体"/>
                <w:color w:val="000000"/>
                <w:szCs w:val="24"/>
              </w:rPr>
            </w:pPr>
            <w:r>
              <w:rPr>
                <w:rFonts w:ascii="宋体" w:hAnsi="宋体" w:hint="eastAsia"/>
                <w:color w:val="000000"/>
                <w:szCs w:val="24"/>
              </w:rPr>
              <w:t>5</w:t>
            </w:r>
          </w:p>
        </w:tc>
        <w:tc>
          <w:tcPr>
            <w:tcW w:w="4439" w:type="pct"/>
            <w:vAlign w:val="center"/>
          </w:tcPr>
          <w:p w14:paraId="1C89D902" w14:textId="77777777" w:rsidR="00FD6984" w:rsidRDefault="00000000">
            <w:pPr>
              <w:spacing w:line="240" w:lineRule="auto"/>
              <w:jc w:val="center"/>
              <w:rPr>
                <w:rFonts w:ascii="宋体" w:hAnsi="宋体"/>
                <w:color w:val="000000"/>
                <w:szCs w:val="24"/>
              </w:rPr>
            </w:pPr>
            <w:r>
              <w:rPr>
                <w:rFonts w:ascii="宋体" w:hAnsi="宋体" w:hint="eastAsia"/>
                <w:color w:val="000000"/>
                <w:szCs w:val="24"/>
              </w:rPr>
              <w:t>广东省标准化研究院</w:t>
            </w:r>
          </w:p>
        </w:tc>
      </w:tr>
      <w:tr w:rsidR="00FD6984" w14:paraId="3C757029" w14:textId="77777777">
        <w:trPr>
          <w:trHeight w:val="298"/>
        </w:trPr>
        <w:tc>
          <w:tcPr>
            <w:tcW w:w="561" w:type="pct"/>
            <w:vAlign w:val="center"/>
          </w:tcPr>
          <w:p w14:paraId="747CB82F" w14:textId="77777777" w:rsidR="00FD6984" w:rsidRDefault="00000000">
            <w:pPr>
              <w:spacing w:line="240" w:lineRule="auto"/>
              <w:jc w:val="center"/>
              <w:rPr>
                <w:rFonts w:ascii="宋体" w:hAnsi="宋体"/>
                <w:szCs w:val="24"/>
              </w:rPr>
            </w:pPr>
            <w:r>
              <w:rPr>
                <w:rFonts w:ascii="宋体" w:hAnsi="宋体" w:hint="eastAsia"/>
                <w:color w:val="000000"/>
                <w:szCs w:val="24"/>
              </w:rPr>
              <w:t>6</w:t>
            </w:r>
          </w:p>
        </w:tc>
        <w:tc>
          <w:tcPr>
            <w:tcW w:w="4439" w:type="pct"/>
            <w:vAlign w:val="center"/>
          </w:tcPr>
          <w:p w14:paraId="6FB2E12D" w14:textId="77777777" w:rsidR="00FD6984" w:rsidRDefault="00000000">
            <w:pPr>
              <w:spacing w:line="240" w:lineRule="auto"/>
              <w:jc w:val="center"/>
              <w:rPr>
                <w:rFonts w:ascii="宋体" w:hAnsi="宋体"/>
                <w:szCs w:val="24"/>
              </w:rPr>
            </w:pPr>
            <w:r>
              <w:rPr>
                <w:rFonts w:ascii="宋体" w:hAnsi="宋体" w:hint="eastAsia"/>
                <w:color w:val="000000"/>
                <w:szCs w:val="24"/>
              </w:rPr>
              <w:t>北京交通大学</w:t>
            </w:r>
          </w:p>
        </w:tc>
      </w:tr>
      <w:tr w:rsidR="00FD6984" w14:paraId="372C986D" w14:textId="77777777">
        <w:trPr>
          <w:trHeight w:val="298"/>
        </w:trPr>
        <w:tc>
          <w:tcPr>
            <w:tcW w:w="561" w:type="pct"/>
            <w:vAlign w:val="center"/>
          </w:tcPr>
          <w:p w14:paraId="005CB5A2" w14:textId="77777777" w:rsidR="00FD6984" w:rsidRDefault="00000000">
            <w:pPr>
              <w:spacing w:line="240" w:lineRule="auto"/>
              <w:jc w:val="center"/>
              <w:rPr>
                <w:rFonts w:ascii="宋体" w:hAnsi="宋体"/>
                <w:szCs w:val="24"/>
              </w:rPr>
            </w:pPr>
            <w:r>
              <w:rPr>
                <w:rFonts w:ascii="宋体" w:hAnsi="宋体" w:hint="eastAsia"/>
                <w:color w:val="000000"/>
                <w:szCs w:val="24"/>
              </w:rPr>
              <w:t>7</w:t>
            </w:r>
          </w:p>
        </w:tc>
        <w:tc>
          <w:tcPr>
            <w:tcW w:w="4439" w:type="pct"/>
            <w:vAlign w:val="center"/>
          </w:tcPr>
          <w:p w14:paraId="7FB0A811" w14:textId="77777777" w:rsidR="00FD6984" w:rsidRDefault="00000000">
            <w:pPr>
              <w:spacing w:line="240" w:lineRule="auto"/>
              <w:jc w:val="center"/>
              <w:rPr>
                <w:rFonts w:ascii="宋体" w:hAnsi="宋体"/>
                <w:szCs w:val="24"/>
              </w:rPr>
            </w:pPr>
            <w:r>
              <w:rPr>
                <w:rFonts w:ascii="宋体" w:hAnsi="宋体" w:hint="eastAsia"/>
                <w:color w:val="000000"/>
                <w:szCs w:val="24"/>
              </w:rPr>
              <w:t>河海大学</w:t>
            </w:r>
          </w:p>
        </w:tc>
      </w:tr>
      <w:tr w:rsidR="00FD6984" w14:paraId="6B19A957" w14:textId="77777777">
        <w:trPr>
          <w:trHeight w:val="298"/>
        </w:trPr>
        <w:tc>
          <w:tcPr>
            <w:tcW w:w="561" w:type="pct"/>
            <w:vAlign w:val="center"/>
          </w:tcPr>
          <w:p w14:paraId="44E06663" w14:textId="77777777" w:rsidR="00FD6984" w:rsidRDefault="00000000">
            <w:pPr>
              <w:spacing w:line="240" w:lineRule="auto"/>
              <w:jc w:val="center"/>
              <w:rPr>
                <w:rFonts w:ascii="宋体" w:hAnsi="宋体"/>
                <w:szCs w:val="24"/>
              </w:rPr>
            </w:pPr>
            <w:r>
              <w:rPr>
                <w:rFonts w:ascii="宋体" w:hAnsi="宋体" w:hint="eastAsia"/>
                <w:color w:val="000000"/>
                <w:szCs w:val="24"/>
              </w:rPr>
              <w:t>8</w:t>
            </w:r>
          </w:p>
        </w:tc>
        <w:tc>
          <w:tcPr>
            <w:tcW w:w="4439" w:type="pct"/>
            <w:vAlign w:val="center"/>
          </w:tcPr>
          <w:p w14:paraId="6FC4C72B" w14:textId="77777777" w:rsidR="00FD6984" w:rsidRDefault="00000000">
            <w:pPr>
              <w:spacing w:line="240" w:lineRule="auto"/>
              <w:jc w:val="center"/>
              <w:rPr>
                <w:rFonts w:ascii="宋体" w:hAnsi="宋体"/>
                <w:szCs w:val="24"/>
              </w:rPr>
            </w:pPr>
            <w:r>
              <w:rPr>
                <w:rFonts w:ascii="宋体" w:hAnsi="宋体" w:hint="eastAsia"/>
                <w:color w:val="000000"/>
                <w:szCs w:val="24"/>
              </w:rPr>
              <w:t>广东工业大学</w:t>
            </w:r>
          </w:p>
        </w:tc>
      </w:tr>
      <w:tr w:rsidR="00FD6984" w14:paraId="23E398C4" w14:textId="77777777">
        <w:trPr>
          <w:trHeight w:val="298"/>
        </w:trPr>
        <w:tc>
          <w:tcPr>
            <w:tcW w:w="561" w:type="pct"/>
            <w:vAlign w:val="center"/>
          </w:tcPr>
          <w:p w14:paraId="52825E06" w14:textId="77777777" w:rsidR="00FD6984" w:rsidRDefault="00000000">
            <w:pPr>
              <w:spacing w:line="240" w:lineRule="auto"/>
              <w:jc w:val="center"/>
              <w:rPr>
                <w:rFonts w:ascii="宋体" w:hAnsi="宋体"/>
                <w:szCs w:val="24"/>
              </w:rPr>
            </w:pPr>
            <w:r>
              <w:rPr>
                <w:rFonts w:ascii="宋体" w:hAnsi="宋体" w:hint="eastAsia"/>
                <w:color w:val="000000"/>
                <w:szCs w:val="24"/>
              </w:rPr>
              <w:t>9</w:t>
            </w:r>
          </w:p>
        </w:tc>
        <w:tc>
          <w:tcPr>
            <w:tcW w:w="4439" w:type="pct"/>
            <w:vAlign w:val="center"/>
          </w:tcPr>
          <w:p w14:paraId="6E5DE9EA" w14:textId="77777777" w:rsidR="00FD6984" w:rsidRDefault="00000000">
            <w:pPr>
              <w:spacing w:line="240" w:lineRule="auto"/>
              <w:jc w:val="center"/>
              <w:rPr>
                <w:rFonts w:ascii="宋体" w:hAnsi="宋体"/>
                <w:szCs w:val="24"/>
              </w:rPr>
            </w:pPr>
            <w:r>
              <w:rPr>
                <w:rFonts w:ascii="宋体" w:hAnsi="宋体" w:hint="eastAsia"/>
                <w:color w:val="000000"/>
                <w:szCs w:val="24"/>
              </w:rPr>
              <w:t>广东省检验检测认证研究院集团有限公司</w:t>
            </w:r>
          </w:p>
        </w:tc>
      </w:tr>
      <w:tr w:rsidR="00FD6984" w14:paraId="72E1AEE5" w14:textId="77777777">
        <w:trPr>
          <w:trHeight w:val="298"/>
        </w:trPr>
        <w:tc>
          <w:tcPr>
            <w:tcW w:w="561" w:type="pct"/>
            <w:vAlign w:val="center"/>
          </w:tcPr>
          <w:p w14:paraId="6D685A43" w14:textId="77777777" w:rsidR="00FD6984" w:rsidRDefault="00000000">
            <w:pPr>
              <w:spacing w:line="240" w:lineRule="auto"/>
              <w:jc w:val="center"/>
              <w:rPr>
                <w:rFonts w:ascii="宋体" w:hAnsi="宋体"/>
                <w:color w:val="000000"/>
                <w:szCs w:val="24"/>
              </w:rPr>
            </w:pPr>
            <w:r>
              <w:rPr>
                <w:rFonts w:ascii="宋体" w:hAnsi="宋体" w:hint="eastAsia"/>
                <w:color w:val="000000"/>
                <w:szCs w:val="24"/>
              </w:rPr>
              <w:t>10</w:t>
            </w:r>
          </w:p>
        </w:tc>
        <w:tc>
          <w:tcPr>
            <w:tcW w:w="4439" w:type="pct"/>
            <w:vAlign w:val="center"/>
          </w:tcPr>
          <w:p w14:paraId="575BABFB" w14:textId="77777777" w:rsidR="00FD6984" w:rsidRDefault="00000000">
            <w:pPr>
              <w:spacing w:line="240" w:lineRule="auto"/>
              <w:jc w:val="center"/>
              <w:rPr>
                <w:rFonts w:ascii="宋体" w:hAnsi="宋体"/>
                <w:color w:val="000000"/>
                <w:szCs w:val="24"/>
              </w:rPr>
            </w:pPr>
            <w:r>
              <w:rPr>
                <w:rFonts w:ascii="宋体" w:hAnsi="宋体" w:hint="eastAsia"/>
                <w:color w:val="000000"/>
                <w:szCs w:val="24"/>
              </w:rPr>
              <w:t>广东省计量研究院</w:t>
            </w:r>
          </w:p>
        </w:tc>
      </w:tr>
    </w:tbl>
    <w:p w14:paraId="56FF8AEA" w14:textId="77777777" w:rsidR="00FD6984" w:rsidRDefault="00FD6984">
      <w:pPr>
        <w:ind w:firstLineChars="200" w:firstLine="480"/>
      </w:pPr>
    </w:p>
    <w:p w14:paraId="24811970" w14:textId="77777777" w:rsidR="00FD6984" w:rsidRDefault="00000000">
      <w:pPr>
        <w:pStyle w:val="1"/>
      </w:pPr>
      <w:bookmarkStart w:id="42" w:name="_Toc169876068"/>
      <w:r>
        <w:rPr>
          <w:rFonts w:hint="eastAsia"/>
        </w:rPr>
        <w:t>采用国内外先进标准的情况，与国内外同类标准水平的对比情况</w:t>
      </w:r>
      <w:bookmarkEnd w:id="42"/>
    </w:p>
    <w:p w14:paraId="07B99CC8" w14:textId="77777777" w:rsidR="00FD6984" w:rsidRDefault="00000000">
      <w:pPr>
        <w:ind w:firstLineChars="200" w:firstLine="480"/>
      </w:pPr>
      <w:r>
        <w:rPr>
          <w:rFonts w:hint="eastAsia"/>
        </w:rPr>
        <w:t>本标准结合中国高速公路运营管理特点和数据基础，首创性地规范了针对高速公路运营期移动源的碳排放核算方法及流程。</w:t>
      </w:r>
    </w:p>
    <w:p w14:paraId="76C055E2" w14:textId="77777777" w:rsidR="00FD6984" w:rsidRDefault="00000000">
      <w:pPr>
        <w:ind w:firstLineChars="200" w:firstLine="480"/>
      </w:pPr>
      <w:r>
        <w:rPr>
          <w:rFonts w:hint="eastAsia"/>
        </w:rPr>
        <w:t>本标准为首次制定，总体技术水平达到国内领先。</w:t>
      </w:r>
    </w:p>
    <w:p w14:paraId="4BABA5E7" w14:textId="77777777" w:rsidR="00FD6984" w:rsidRDefault="00000000">
      <w:pPr>
        <w:pStyle w:val="1"/>
      </w:pPr>
      <w:bookmarkStart w:id="43" w:name="_Toc169876069"/>
      <w:r>
        <w:rPr>
          <w:rFonts w:hint="eastAsia"/>
        </w:rPr>
        <w:t>与有关现行法律、法规和强制性国家标准的关系</w:t>
      </w:r>
      <w:bookmarkEnd w:id="43"/>
    </w:p>
    <w:p w14:paraId="130870DA" w14:textId="77777777" w:rsidR="00FD6984" w:rsidRDefault="00000000">
      <w:pPr>
        <w:ind w:firstLineChars="200" w:firstLine="480"/>
      </w:pPr>
      <w:r>
        <w:rPr>
          <w:rFonts w:hint="eastAsia"/>
        </w:rPr>
        <w:t>本标准与相关法律、法规、规章及相关标准协调一致，无冲突。</w:t>
      </w:r>
    </w:p>
    <w:p w14:paraId="45DE1E2E" w14:textId="77777777" w:rsidR="00FD6984" w:rsidRDefault="00000000">
      <w:pPr>
        <w:pStyle w:val="1"/>
      </w:pPr>
      <w:bookmarkStart w:id="44" w:name="_Toc169876070"/>
      <w:r>
        <w:rPr>
          <w:rFonts w:hint="eastAsia"/>
        </w:rPr>
        <w:t>重大意见分歧的处理依据和结果</w:t>
      </w:r>
      <w:bookmarkEnd w:id="44"/>
    </w:p>
    <w:p w14:paraId="7538B362" w14:textId="77777777" w:rsidR="00FD6984" w:rsidRDefault="00000000">
      <w:pPr>
        <w:ind w:firstLineChars="200" w:firstLine="480"/>
      </w:pPr>
      <w:r>
        <w:rPr>
          <w:rFonts w:hint="eastAsia"/>
        </w:rPr>
        <w:t>无重大意见分歧。</w:t>
      </w:r>
    </w:p>
    <w:p w14:paraId="1B46AD4A" w14:textId="77777777" w:rsidR="00FD6984" w:rsidRDefault="00000000">
      <w:pPr>
        <w:pStyle w:val="1"/>
      </w:pPr>
      <w:bookmarkStart w:id="45" w:name="_Toc169876071"/>
      <w:r>
        <w:rPr>
          <w:rFonts w:hint="eastAsia"/>
        </w:rPr>
        <w:t>贯彻实施标准的要求、措施等建议</w:t>
      </w:r>
      <w:bookmarkEnd w:id="45"/>
    </w:p>
    <w:p w14:paraId="0172BEF0" w14:textId="77777777" w:rsidR="00FD6984" w:rsidRDefault="00000000">
      <w:pPr>
        <w:ind w:firstLineChars="200" w:firstLine="480"/>
      </w:pPr>
      <w:r>
        <w:rPr>
          <w:rFonts w:hint="eastAsia"/>
        </w:rPr>
        <w:t>建议广东省地方标准《高速公路运营期移动源碳排放核算标准》作为推荐性标准颁布实施。建议本标准在批准发布后立即实施。</w:t>
      </w:r>
    </w:p>
    <w:p w14:paraId="2A13A281" w14:textId="77777777" w:rsidR="00FD6984" w:rsidRDefault="00000000">
      <w:pPr>
        <w:pStyle w:val="1"/>
      </w:pPr>
      <w:bookmarkStart w:id="46" w:name="_Toc169876072"/>
      <w:r>
        <w:rPr>
          <w:rFonts w:hint="eastAsia"/>
        </w:rPr>
        <w:t>其他应当说明的事项</w:t>
      </w:r>
      <w:bookmarkEnd w:id="46"/>
    </w:p>
    <w:p w14:paraId="4E4DF3DF" w14:textId="77777777" w:rsidR="00FD6984" w:rsidRDefault="00000000">
      <w:pPr>
        <w:ind w:firstLineChars="200" w:firstLine="480"/>
      </w:pPr>
      <w:r>
        <w:rPr>
          <w:rFonts w:hint="eastAsia"/>
        </w:rPr>
        <w:t>无其他应当说明的事项。</w:t>
      </w:r>
    </w:p>
    <w:p w14:paraId="1F91A285" w14:textId="77777777" w:rsidR="00FD6984" w:rsidRDefault="00000000">
      <w:pPr>
        <w:jc w:val="right"/>
      </w:pPr>
      <w:r>
        <w:rPr>
          <w:rFonts w:hint="eastAsia"/>
        </w:rPr>
        <w:t>标准编制工作组</w:t>
      </w:r>
    </w:p>
    <w:p w14:paraId="311484B6" w14:textId="77777777" w:rsidR="00FD6984" w:rsidRPr="00A14557" w:rsidRDefault="00000000">
      <w:pPr>
        <w:jc w:val="right"/>
      </w:pPr>
      <w:r w:rsidRPr="00A14557">
        <w:rPr>
          <w:rFonts w:hint="eastAsia"/>
        </w:rPr>
        <w:t>2</w:t>
      </w:r>
      <w:r w:rsidRPr="00A14557">
        <w:t>024</w:t>
      </w:r>
      <w:r w:rsidRPr="00A14557">
        <w:rPr>
          <w:rFonts w:hint="eastAsia"/>
        </w:rPr>
        <w:t>年</w:t>
      </w:r>
      <w:r w:rsidRPr="00A14557">
        <w:rPr>
          <w:rFonts w:hint="eastAsia"/>
        </w:rPr>
        <w:t>6</w:t>
      </w:r>
      <w:r w:rsidRPr="00A14557">
        <w:rPr>
          <w:rFonts w:hint="eastAsia"/>
        </w:rPr>
        <w:t>月</w:t>
      </w:r>
      <w:r w:rsidRPr="00A14557">
        <w:rPr>
          <w:rFonts w:hint="eastAsia"/>
        </w:rPr>
        <w:t>21</w:t>
      </w:r>
      <w:r w:rsidRPr="00A14557">
        <w:rPr>
          <w:rFonts w:hint="eastAsia"/>
        </w:rPr>
        <w:t>日</w:t>
      </w:r>
    </w:p>
    <w:sectPr w:rsidR="00FD6984" w:rsidRPr="00A145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E4A5A" w14:textId="77777777" w:rsidR="00891378" w:rsidRDefault="00891378">
      <w:pPr>
        <w:spacing w:line="240" w:lineRule="auto"/>
      </w:pPr>
      <w:r>
        <w:separator/>
      </w:r>
    </w:p>
  </w:endnote>
  <w:endnote w:type="continuationSeparator" w:id="0">
    <w:p w14:paraId="30CE734F" w14:textId="77777777" w:rsidR="00891378" w:rsidRDefault="008913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9971C" w14:textId="77777777" w:rsidR="00FD6984" w:rsidRDefault="00FD6984">
    <w:pPr>
      <w:pStyle w:val="a8"/>
      <w:jc w:val="center"/>
    </w:pPr>
  </w:p>
  <w:p w14:paraId="7026F804" w14:textId="77777777" w:rsidR="00FD6984" w:rsidRDefault="00FD698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9184758"/>
    </w:sdtPr>
    <w:sdtContent>
      <w:p w14:paraId="36D2D7BC" w14:textId="77777777" w:rsidR="00FD6984" w:rsidRDefault="00000000">
        <w:pPr>
          <w:pStyle w:val="a8"/>
          <w:jc w:val="center"/>
        </w:pPr>
        <w:r>
          <w:fldChar w:fldCharType="begin"/>
        </w:r>
        <w:r>
          <w:instrText>PAGE   \* MERGEFORMAT</w:instrText>
        </w:r>
        <w:r>
          <w:fldChar w:fldCharType="separate"/>
        </w:r>
        <w:r>
          <w:rPr>
            <w:lang w:val="zh-CN"/>
          </w:rPr>
          <w:t>2</w:t>
        </w:r>
        <w:r>
          <w:fldChar w:fldCharType="end"/>
        </w:r>
      </w:p>
    </w:sdtContent>
  </w:sdt>
  <w:p w14:paraId="51AB1C31" w14:textId="77777777" w:rsidR="00FD6984" w:rsidRDefault="00FD698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4156093"/>
    </w:sdtPr>
    <w:sdtContent>
      <w:p w14:paraId="44EB16AB" w14:textId="77777777" w:rsidR="00FD6984" w:rsidRDefault="00000000">
        <w:pPr>
          <w:pStyle w:val="a8"/>
          <w:jc w:val="center"/>
        </w:pPr>
        <w:r>
          <w:fldChar w:fldCharType="begin"/>
        </w:r>
        <w:r>
          <w:instrText>PAGE   \* MERGEFORMAT</w:instrText>
        </w:r>
        <w:r>
          <w:fldChar w:fldCharType="separate"/>
        </w:r>
        <w:r>
          <w:rPr>
            <w:lang w:val="zh-CN"/>
          </w:rPr>
          <w:t>2</w:t>
        </w:r>
        <w:r>
          <w:fldChar w:fldCharType="end"/>
        </w:r>
      </w:p>
    </w:sdtContent>
  </w:sdt>
  <w:p w14:paraId="09D165AE" w14:textId="77777777" w:rsidR="00FD6984" w:rsidRDefault="00FD698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1B741" w14:textId="77777777" w:rsidR="00891378" w:rsidRDefault="00891378">
      <w:r>
        <w:separator/>
      </w:r>
    </w:p>
  </w:footnote>
  <w:footnote w:type="continuationSeparator" w:id="0">
    <w:p w14:paraId="591D6DDD" w14:textId="77777777" w:rsidR="00891378" w:rsidRDefault="00891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A0A7C" w14:textId="77777777" w:rsidR="00FD6984" w:rsidRDefault="00FD6984">
    <w:pPr>
      <w:pStyle w:val="a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25AEC" w14:textId="77777777" w:rsidR="00FD6984" w:rsidRDefault="00FD6984">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254D7"/>
    <w:multiLevelType w:val="multilevel"/>
    <w:tmpl w:val="18D254D7"/>
    <w:lvl w:ilvl="0">
      <w:start w:val="1"/>
      <w:numFmt w:val="chineseCountingThousand"/>
      <w:pStyle w:val="1"/>
      <w:suff w:val="space"/>
      <w:lvlText w:val="%1、"/>
      <w:lvlJc w:val="left"/>
      <w:pPr>
        <w:ind w:left="440" w:hanging="440"/>
      </w:pPr>
      <w:rPr>
        <w:rFonts w:hint="eastAsia"/>
      </w:rPr>
    </w:lvl>
    <w:lvl w:ilvl="1">
      <w:start w:val="1"/>
      <w:numFmt w:val="decimal"/>
      <w:pStyle w:val="2"/>
      <w:suff w:val="space"/>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1" w15:restartNumberingAfterBreak="0">
    <w:nsid w:val="5A330DC5"/>
    <w:multiLevelType w:val="multilevel"/>
    <w:tmpl w:val="5A330DC5"/>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16cid:durableId="944191281">
    <w:abstractNumId w:val="0"/>
  </w:num>
  <w:num w:numId="2" w16cid:durableId="2007904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characterSpacingControl w:val="doNotCompress"/>
  <w:hdrShapeDefaults>
    <o:shapedefaults v:ext="edit" spidmax="2051"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45554"/>
    <w:rsid w:val="00000B92"/>
    <w:rsid w:val="0000225C"/>
    <w:rsid w:val="00005F68"/>
    <w:rsid w:val="00006525"/>
    <w:rsid w:val="000065E2"/>
    <w:rsid w:val="00007547"/>
    <w:rsid w:val="0001281C"/>
    <w:rsid w:val="00012F78"/>
    <w:rsid w:val="00017A6E"/>
    <w:rsid w:val="00017E61"/>
    <w:rsid w:val="00021F10"/>
    <w:rsid w:val="00022E58"/>
    <w:rsid w:val="00024072"/>
    <w:rsid w:val="000247B3"/>
    <w:rsid w:val="00025EEE"/>
    <w:rsid w:val="000276F9"/>
    <w:rsid w:val="00027895"/>
    <w:rsid w:val="00027B48"/>
    <w:rsid w:val="000336BF"/>
    <w:rsid w:val="000345FF"/>
    <w:rsid w:val="00035452"/>
    <w:rsid w:val="00036DD1"/>
    <w:rsid w:val="00037728"/>
    <w:rsid w:val="00046550"/>
    <w:rsid w:val="00050675"/>
    <w:rsid w:val="00051671"/>
    <w:rsid w:val="0005485C"/>
    <w:rsid w:val="00055190"/>
    <w:rsid w:val="00055B98"/>
    <w:rsid w:val="00056578"/>
    <w:rsid w:val="00056CF0"/>
    <w:rsid w:val="00060781"/>
    <w:rsid w:val="00061242"/>
    <w:rsid w:val="00062744"/>
    <w:rsid w:val="00064F0B"/>
    <w:rsid w:val="00070B3C"/>
    <w:rsid w:val="00071AA6"/>
    <w:rsid w:val="00074EE0"/>
    <w:rsid w:val="00076389"/>
    <w:rsid w:val="0008250E"/>
    <w:rsid w:val="00082D8C"/>
    <w:rsid w:val="00084921"/>
    <w:rsid w:val="00090F7C"/>
    <w:rsid w:val="000937DB"/>
    <w:rsid w:val="00094A14"/>
    <w:rsid w:val="00095880"/>
    <w:rsid w:val="00096451"/>
    <w:rsid w:val="0009695F"/>
    <w:rsid w:val="00096C31"/>
    <w:rsid w:val="00096C9D"/>
    <w:rsid w:val="000A06D8"/>
    <w:rsid w:val="000A1297"/>
    <w:rsid w:val="000A3561"/>
    <w:rsid w:val="000A371E"/>
    <w:rsid w:val="000A4858"/>
    <w:rsid w:val="000B0612"/>
    <w:rsid w:val="000C737D"/>
    <w:rsid w:val="000C78AF"/>
    <w:rsid w:val="000E04E4"/>
    <w:rsid w:val="000E061D"/>
    <w:rsid w:val="000E37EF"/>
    <w:rsid w:val="000E46C1"/>
    <w:rsid w:val="000E490B"/>
    <w:rsid w:val="000F1E2F"/>
    <w:rsid w:val="000F2749"/>
    <w:rsid w:val="000F38E9"/>
    <w:rsid w:val="000F4AC3"/>
    <w:rsid w:val="000F4E88"/>
    <w:rsid w:val="000F7828"/>
    <w:rsid w:val="000F7FF1"/>
    <w:rsid w:val="00104C35"/>
    <w:rsid w:val="001062EE"/>
    <w:rsid w:val="00111D96"/>
    <w:rsid w:val="00113112"/>
    <w:rsid w:val="001136E4"/>
    <w:rsid w:val="0011448D"/>
    <w:rsid w:val="00115B9D"/>
    <w:rsid w:val="001168FE"/>
    <w:rsid w:val="001200D2"/>
    <w:rsid w:val="00120F1E"/>
    <w:rsid w:val="00121B8D"/>
    <w:rsid w:val="0012271A"/>
    <w:rsid w:val="0012279F"/>
    <w:rsid w:val="00124F40"/>
    <w:rsid w:val="00127F5D"/>
    <w:rsid w:val="00130CDF"/>
    <w:rsid w:val="0013265C"/>
    <w:rsid w:val="00142146"/>
    <w:rsid w:val="0014252B"/>
    <w:rsid w:val="00142F3C"/>
    <w:rsid w:val="00142FAD"/>
    <w:rsid w:val="00144E0A"/>
    <w:rsid w:val="0014541D"/>
    <w:rsid w:val="001507A8"/>
    <w:rsid w:val="0015139D"/>
    <w:rsid w:val="00151E27"/>
    <w:rsid w:val="001565BD"/>
    <w:rsid w:val="00156748"/>
    <w:rsid w:val="00156CFB"/>
    <w:rsid w:val="00157EE9"/>
    <w:rsid w:val="0016252F"/>
    <w:rsid w:val="00166C0C"/>
    <w:rsid w:val="00172E34"/>
    <w:rsid w:val="00180492"/>
    <w:rsid w:val="00180B7F"/>
    <w:rsid w:val="0018701A"/>
    <w:rsid w:val="001879C3"/>
    <w:rsid w:val="00192C34"/>
    <w:rsid w:val="0019544B"/>
    <w:rsid w:val="00197DA1"/>
    <w:rsid w:val="001A796B"/>
    <w:rsid w:val="001B0915"/>
    <w:rsid w:val="001B1CFF"/>
    <w:rsid w:val="001B204A"/>
    <w:rsid w:val="001B2402"/>
    <w:rsid w:val="001B290F"/>
    <w:rsid w:val="001B7B9F"/>
    <w:rsid w:val="001C1403"/>
    <w:rsid w:val="001C4299"/>
    <w:rsid w:val="001D3A2E"/>
    <w:rsid w:val="001D57F3"/>
    <w:rsid w:val="001E349A"/>
    <w:rsid w:val="001E4D77"/>
    <w:rsid w:val="001E72C4"/>
    <w:rsid w:val="001F07FE"/>
    <w:rsid w:val="001F16D6"/>
    <w:rsid w:val="001F26E9"/>
    <w:rsid w:val="001F5A2A"/>
    <w:rsid w:val="001F60C7"/>
    <w:rsid w:val="001F7FA3"/>
    <w:rsid w:val="00201297"/>
    <w:rsid w:val="00202F52"/>
    <w:rsid w:val="00204167"/>
    <w:rsid w:val="002104BC"/>
    <w:rsid w:val="00211AC6"/>
    <w:rsid w:val="00214656"/>
    <w:rsid w:val="0021498C"/>
    <w:rsid w:val="00214AA6"/>
    <w:rsid w:val="002161DF"/>
    <w:rsid w:val="002162EF"/>
    <w:rsid w:val="002220F4"/>
    <w:rsid w:val="00233543"/>
    <w:rsid w:val="00235832"/>
    <w:rsid w:val="002367C6"/>
    <w:rsid w:val="00236ED2"/>
    <w:rsid w:val="00237390"/>
    <w:rsid w:val="00237A16"/>
    <w:rsid w:val="0024285B"/>
    <w:rsid w:val="00244F8B"/>
    <w:rsid w:val="00245F88"/>
    <w:rsid w:val="0025097B"/>
    <w:rsid w:val="00250A91"/>
    <w:rsid w:val="00255431"/>
    <w:rsid w:val="002566DA"/>
    <w:rsid w:val="00260053"/>
    <w:rsid w:val="002604AC"/>
    <w:rsid w:val="00260F05"/>
    <w:rsid w:val="002622D0"/>
    <w:rsid w:val="00267874"/>
    <w:rsid w:val="002710CB"/>
    <w:rsid w:val="00274374"/>
    <w:rsid w:val="0027795E"/>
    <w:rsid w:val="002800FF"/>
    <w:rsid w:val="002806FA"/>
    <w:rsid w:val="0028116C"/>
    <w:rsid w:val="002817E0"/>
    <w:rsid w:val="00281AAA"/>
    <w:rsid w:val="00286358"/>
    <w:rsid w:val="0028688B"/>
    <w:rsid w:val="002869EA"/>
    <w:rsid w:val="00286C30"/>
    <w:rsid w:val="00287E01"/>
    <w:rsid w:val="002903F8"/>
    <w:rsid w:val="002923E6"/>
    <w:rsid w:val="00292D7E"/>
    <w:rsid w:val="0029323B"/>
    <w:rsid w:val="00293458"/>
    <w:rsid w:val="00293BC2"/>
    <w:rsid w:val="002943C9"/>
    <w:rsid w:val="00297DB2"/>
    <w:rsid w:val="002A0423"/>
    <w:rsid w:val="002A203C"/>
    <w:rsid w:val="002A208D"/>
    <w:rsid w:val="002A4508"/>
    <w:rsid w:val="002B0BD0"/>
    <w:rsid w:val="002B20D0"/>
    <w:rsid w:val="002B2192"/>
    <w:rsid w:val="002B3D3A"/>
    <w:rsid w:val="002B4BE8"/>
    <w:rsid w:val="002B7D4D"/>
    <w:rsid w:val="002C1C3B"/>
    <w:rsid w:val="002C39C3"/>
    <w:rsid w:val="002C3EC5"/>
    <w:rsid w:val="002C453C"/>
    <w:rsid w:val="002C5933"/>
    <w:rsid w:val="002D298D"/>
    <w:rsid w:val="002D590C"/>
    <w:rsid w:val="002D5DCF"/>
    <w:rsid w:val="002D5F84"/>
    <w:rsid w:val="002E39DF"/>
    <w:rsid w:val="002E3EA3"/>
    <w:rsid w:val="002E6BFD"/>
    <w:rsid w:val="002E7324"/>
    <w:rsid w:val="002E7F6C"/>
    <w:rsid w:val="002F1E8E"/>
    <w:rsid w:val="002F2298"/>
    <w:rsid w:val="002F50B8"/>
    <w:rsid w:val="002F6199"/>
    <w:rsid w:val="002F63F8"/>
    <w:rsid w:val="002F657B"/>
    <w:rsid w:val="002F797A"/>
    <w:rsid w:val="003012F8"/>
    <w:rsid w:val="00302BA5"/>
    <w:rsid w:val="00303549"/>
    <w:rsid w:val="0030758D"/>
    <w:rsid w:val="0031081C"/>
    <w:rsid w:val="00310FFE"/>
    <w:rsid w:val="0031530A"/>
    <w:rsid w:val="00315750"/>
    <w:rsid w:val="0032058C"/>
    <w:rsid w:val="00323581"/>
    <w:rsid w:val="003300DB"/>
    <w:rsid w:val="00330B22"/>
    <w:rsid w:val="003330F4"/>
    <w:rsid w:val="00335136"/>
    <w:rsid w:val="003404EE"/>
    <w:rsid w:val="00342975"/>
    <w:rsid w:val="0034445D"/>
    <w:rsid w:val="00345468"/>
    <w:rsid w:val="003457F9"/>
    <w:rsid w:val="0034651C"/>
    <w:rsid w:val="00346965"/>
    <w:rsid w:val="003516D4"/>
    <w:rsid w:val="00353361"/>
    <w:rsid w:val="00353BAC"/>
    <w:rsid w:val="0036033B"/>
    <w:rsid w:val="00360B87"/>
    <w:rsid w:val="003610CB"/>
    <w:rsid w:val="003613E3"/>
    <w:rsid w:val="0036207B"/>
    <w:rsid w:val="00363FBD"/>
    <w:rsid w:val="00364AEF"/>
    <w:rsid w:val="00364B0C"/>
    <w:rsid w:val="003700A1"/>
    <w:rsid w:val="00370C3C"/>
    <w:rsid w:val="00372ED3"/>
    <w:rsid w:val="00375E43"/>
    <w:rsid w:val="00383E05"/>
    <w:rsid w:val="00387BE8"/>
    <w:rsid w:val="003929D4"/>
    <w:rsid w:val="00395935"/>
    <w:rsid w:val="00396E17"/>
    <w:rsid w:val="00397557"/>
    <w:rsid w:val="003A31A1"/>
    <w:rsid w:val="003A35DE"/>
    <w:rsid w:val="003A3AF2"/>
    <w:rsid w:val="003A64A1"/>
    <w:rsid w:val="003B0771"/>
    <w:rsid w:val="003B0F67"/>
    <w:rsid w:val="003B1DF1"/>
    <w:rsid w:val="003B38E9"/>
    <w:rsid w:val="003B3F4B"/>
    <w:rsid w:val="003B499C"/>
    <w:rsid w:val="003B5378"/>
    <w:rsid w:val="003B73A5"/>
    <w:rsid w:val="003C509F"/>
    <w:rsid w:val="003C53A4"/>
    <w:rsid w:val="003C643B"/>
    <w:rsid w:val="003C73C3"/>
    <w:rsid w:val="003D2DAC"/>
    <w:rsid w:val="003D5381"/>
    <w:rsid w:val="003D593B"/>
    <w:rsid w:val="003D61BB"/>
    <w:rsid w:val="003E048D"/>
    <w:rsid w:val="003E1B5D"/>
    <w:rsid w:val="003E2A04"/>
    <w:rsid w:val="003E2ABF"/>
    <w:rsid w:val="003E412A"/>
    <w:rsid w:val="003E50FA"/>
    <w:rsid w:val="003E58C1"/>
    <w:rsid w:val="003E7C2A"/>
    <w:rsid w:val="003F26B5"/>
    <w:rsid w:val="003F2B81"/>
    <w:rsid w:val="003F4F6B"/>
    <w:rsid w:val="003F6EB0"/>
    <w:rsid w:val="0040243C"/>
    <w:rsid w:val="004038E4"/>
    <w:rsid w:val="0040676E"/>
    <w:rsid w:val="00406CCB"/>
    <w:rsid w:val="0040767A"/>
    <w:rsid w:val="00411204"/>
    <w:rsid w:val="00412EC5"/>
    <w:rsid w:val="00414A61"/>
    <w:rsid w:val="00414AD7"/>
    <w:rsid w:val="00414B29"/>
    <w:rsid w:val="00415669"/>
    <w:rsid w:val="00421864"/>
    <w:rsid w:val="00425A5C"/>
    <w:rsid w:val="00427351"/>
    <w:rsid w:val="0042787C"/>
    <w:rsid w:val="004327DF"/>
    <w:rsid w:val="00433546"/>
    <w:rsid w:val="00433EFE"/>
    <w:rsid w:val="00437F91"/>
    <w:rsid w:val="004402B6"/>
    <w:rsid w:val="00442DC7"/>
    <w:rsid w:val="00442E7E"/>
    <w:rsid w:val="00443D4C"/>
    <w:rsid w:val="004441DC"/>
    <w:rsid w:val="004449F4"/>
    <w:rsid w:val="0044783E"/>
    <w:rsid w:val="0045280B"/>
    <w:rsid w:val="00456B6F"/>
    <w:rsid w:val="00460B30"/>
    <w:rsid w:val="00461B86"/>
    <w:rsid w:val="0046305E"/>
    <w:rsid w:val="0046322F"/>
    <w:rsid w:val="00463E53"/>
    <w:rsid w:val="00463FEC"/>
    <w:rsid w:val="00465F12"/>
    <w:rsid w:val="00466999"/>
    <w:rsid w:val="004710E6"/>
    <w:rsid w:val="00472871"/>
    <w:rsid w:val="00472A1D"/>
    <w:rsid w:val="004839FC"/>
    <w:rsid w:val="00484376"/>
    <w:rsid w:val="004843E8"/>
    <w:rsid w:val="004844FD"/>
    <w:rsid w:val="00490543"/>
    <w:rsid w:val="00491118"/>
    <w:rsid w:val="004A1F18"/>
    <w:rsid w:val="004A528C"/>
    <w:rsid w:val="004A7BFF"/>
    <w:rsid w:val="004B0CBE"/>
    <w:rsid w:val="004B6224"/>
    <w:rsid w:val="004B667E"/>
    <w:rsid w:val="004C0E00"/>
    <w:rsid w:val="004C1CC3"/>
    <w:rsid w:val="004C37D5"/>
    <w:rsid w:val="004C4BB0"/>
    <w:rsid w:val="004C4BF8"/>
    <w:rsid w:val="004C74B0"/>
    <w:rsid w:val="004D3BA4"/>
    <w:rsid w:val="004D4CAC"/>
    <w:rsid w:val="004D565D"/>
    <w:rsid w:val="004D6626"/>
    <w:rsid w:val="004D6943"/>
    <w:rsid w:val="004D6D38"/>
    <w:rsid w:val="004D78D2"/>
    <w:rsid w:val="004E416E"/>
    <w:rsid w:val="004E5EBD"/>
    <w:rsid w:val="004F0E20"/>
    <w:rsid w:val="004F22BD"/>
    <w:rsid w:val="004F4BDD"/>
    <w:rsid w:val="004F53D6"/>
    <w:rsid w:val="00502DDD"/>
    <w:rsid w:val="005031DC"/>
    <w:rsid w:val="00503F7C"/>
    <w:rsid w:val="00507A92"/>
    <w:rsid w:val="00512C07"/>
    <w:rsid w:val="00512D4B"/>
    <w:rsid w:val="005130FC"/>
    <w:rsid w:val="00515F9E"/>
    <w:rsid w:val="00516C09"/>
    <w:rsid w:val="00520BDE"/>
    <w:rsid w:val="005228D5"/>
    <w:rsid w:val="005229B8"/>
    <w:rsid w:val="00522C50"/>
    <w:rsid w:val="00523571"/>
    <w:rsid w:val="00525023"/>
    <w:rsid w:val="00525233"/>
    <w:rsid w:val="005264FB"/>
    <w:rsid w:val="0052705B"/>
    <w:rsid w:val="00530A9B"/>
    <w:rsid w:val="00531AC4"/>
    <w:rsid w:val="00532016"/>
    <w:rsid w:val="0053265E"/>
    <w:rsid w:val="00534AA6"/>
    <w:rsid w:val="00535661"/>
    <w:rsid w:val="00537EE8"/>
    <w:rsid w:val="00541F27"/>
    <w:rsid w:val="00544B4E"/>
    <w:rsid w:val="00546143"/>
    <w:rsid w:val="0055072D"/>
    <w:rsid w:val="00551872"/>
    <w:rsid w:val="005535BA"/>
    <w:rsid w:val="00554692"/>
    <w:rsid w:val="00554D8B"/>
    <w:rsid w:val="0056093E"/>
    <w:rsid w:val="00561282"/>
    <w:rsid w:val="00562EF8"/>
    <w:rsid w:val="0056429F"/>
    <w:rsid w:val="0056448D"/>
    <w:rsid w:val="00571AC4"/>
    <w:rsid w:val="00571BAA"/>
    <w:rsid w:val="00573A95"/>
    <w:rsid w:val="00574123"/>
    <w:rsid w:val="00577568"/>
    <w:rsid w:val="00581901"/>
    <w:rsid w:val="00591E91"/>
    <w:rsid w:val="00597545"/>
    <w:rsid w:val="005A0B59"/>
    <w:rsid w:val="005A2853"/>
    <w:rsid w:val="005A5B9D"/>
    <w:rsid w:val="005A5D14"/>
    <w:rsid w:val="005B145A"/>
    <w:rsid w:val="005B34CE"/>
    <w:rsid w:val="005C0A10"/>
    <w:rsid w:val="005C270F"/>
    <w:rsid w:val="005C2838"/>
    <w:rsid w:val="005D03A2"/>
    <w:rsid w:val="005D2005"/>
    <w:rsid w:val="005D602C"/>
    <w:rsid w:val="005D78CE"/>
    <w:rsid w:val="005E0ABB"/>
    <w:rsid w:val="005E2DE5"/>
    <w:rsid w:val="005E5649"/>
    <w:rsid w:val="005E6965"/>
    <w:rsid w:val="005F3771"/>
    <w:rsid w:val="005F460E"/>
    <w:rsid w:val="005F559B"/>
    <w:rsid w:val="005F6587"/>
    <w:rsid w:val="00600C10"/>
    <w:rsid w:val="00601ED5"/>
    <w:rsid w:val="006052FF"/>
    <w:rsid w:val="0060593A"/>
    <w:rsid w:val="00606D03"/>
    <w:rsid w:val="00611F7A"/>
    <w:rsid w:val="006120E4"/>
    <w:rsid w:val="00613756"/>
    <w:rsid w:val="00616F76"/>
    <w:rsid w:val="00621C36"/>
    <w:rsid w:val="0062640B"/>
    <w:rsid w:val="006278A2"/>
    <w:rsid w:val="0063050E"/>
    <w:rsid w:val="006316F2"/>
    <w:rsid w:val="00631C03"/>
    <w:rsid w:val="0063608B"/>
    <w:rsid w:val="00636A6D"/>
    <w:rsid w:val="00637C9B"/>
    <w:rsid w:val="0064381F"/>
    <w:rsid w:val="006441E0"/>
    <w:rsid w:val="006454EA"/>
    <w:rsid w:val="00646D98"/>
    <w:rsid w:val="00646DD4"/>
    <w:rsid w:val="006502C7"/>
    <w:rsid w:val="00653212"/>
    <w:rsid w:val="0065357F"/>
    <w:rsid w:val="0066036A"/>
    <w:rsid w:val="00664B0F"/>
    <w:rsid w:val="006650A9"/>
    <w:rsid w:val="006658C8"/>
    <w:rsid w:val="0066786B"/>
    <w:rsid w:val="00670ABB"/>
    <w:rsid w:val="00672227"/>
    <w:rsid w:val="0067447D"/>
    <w:rsid w:val="00676F0C"/>
    <w:rsid w:val="00677513"/>
    <w:rsid w:val="00680786"/>
    <w:rsid w:val="006810D1"/>
    <w:rsid w:val="00682124"/>
    <w:rsid w:val="00683342"/>
    <w:rsid w:val="00683630"/>
    <w:rsid w:val="006915AE"/>
    <w:rsid w:val="00691E82"/>
    <w:rsid w:val="0069322D"/>
    <w:rsid w:val="0069334F"/>
    <w:rsid w:val="00693BB5"/>
    <w:rsid w:val="006964D1"/>
    <w:rsid w:val="006A010F"/>
    <w:rsid w:val="006A0233"/>
    <w:rsid w:val="006A0B21"/>
    <w:rsid w:val="006A1993"/>
    <w:rsid w:val="006A3976"/>
    <w:rsid w:val="006A4D79"/>
    <w:rsid w:val="006A5DFC"/>
    <w:rsid w:val="006B5F8A"/>
    <w:rsid w:val="006B69B6"/>
    <w:rsid w:val="006C1BFD"/>
    <w:rsid w:val="006C1D6B"/>
    <w:rsid w:val="006C42BB"/>
    <w:rsid w:val="006D0717"/>
    <w:rsid w:val="006D0FDA"/>
    <w:rsid w:val="006D2991"/>
    <w:rsid w:val="006D34BB"/>
    <w:rsid w:val="006D53E9"/>
    <w:rsid w:val="006D6EA3"/>
    <w:rsid w:val="006D7471"/>
    <w:rsid w:val="006D7532"/>
    <w:rsid w:val="006D7F15"/>
    <w:rsid w:val="006F1CF9"/>
    <w:rsid w:val="006F1E50"/>
    <w:rsid w:val="006F2EDA"/>
    <w:rsid w:val="006F2F2B"/>
    <w:rsid w:val="006F4F7D"/>
    <w:rsid w:val="006F637F"/>
    <w:rsid w:val="006F6DE9"/>
    <w:rsid w:val="00700C56"/>
    <w:rsid w:val="0070443E"/>
    <w:rsid w:val="00707856"/>
    <w:rsid w:val="00712A3B"/>
    <w:rsid w:val="007146C0"/>
    <w:rsid w:val="00720B5E"/>
    <w:rsid w:val="00720BEF"/>
    <w:rsid w:val="00720FA1"/>
    <w:rsid w:val="00726718"/>
    <w:rsid w:val="00730D6A"/>
    <w:rsid w:val="00731EC7"/>
    <w:rsid w:val="00734129"/>
    <w:rsid w:val="007356E3"/>
    <w:rsid w:val="0073739F"/>
    <w:rsid w:val="00737D18"/>
    <w:rsid w:val="00737E44"/>
    <w:rsid w:val="0074043E"/>
    <w:rsid w:val="00745B03"/>
    <w:rsid w:val="00746716"/>
    <w:rsid w:val="00752D5E"/>
    <w:rsid w:val="00752D7E"/>
    <w:rsid w:val="00753AB3"/>
    <w:rsid w:val="00754802"/>
    <w:rsid w:val="007550B9"/>
    <w:rsid w:val="007551D2"/>
    <w:rsid w:val="007566D5"/>
    <w:rsid w:val="00760CAC"/>
    <w:rsid w:val="00762880"/>
    <w:rsid w:val="00765C21"/>
    <w:rsid w:val="00773FD6"/>
    <w:rsid w:val="00775BE9"/>
    <w:rsid w:val="00782B77"/>
    <w:rsid w:val="00784ECA"/>
    <w:rsid w:val="00785F86"/>
    <w:rsid w:val="00786F33"/>
    <w:rsid w:val="0079096A"/>
    <w:rsid w:val="00790BCD"/>
    <w:rsid w:val="00790E29"/>
    <w:rsid w:val="00792589"/>
    <w:rsid w:val="00794D8A"/>
    <w:rsid w:val="007A171C"/>
    <w:rsid w:val="007A1841"/>
    <w:rsid w:val="007B22FB"/>
    <w:rsid w:val="007B5137"/>
    <w:rsid w:val="007B6184"/>
    <w:rsid w:val="007B661C"/>
    <w:rsid w:val="007B6CE0"/>
    <w:rsid w:val="007C00B2"/>
    <w:rsid w:val="007C04C5"/>
    <w:rsid w:val="007C3D57"/>
    <w:rsid w:val="007C3DFF"/>
    <w:rsid w:val="007C541F"/>
    <w:rsid w:val="007C6C14"/>
    <w:rsid w:val="007D16F7"/>
    <w:rsid w:val="007D2196"/>
    <w:rsid w:val="007D3D53"/>
    <w:rsid w:val="007E0BC0"/>
    <w:rsid w:val="007E313D"/>
    <w:rsid w:val="007E53FE"/>
    <w:rsid w:val="007E6E6E"/>
    <w:rsid w:val="007F063F"/>
    <w:rsid w:val="007F0EA0"/>
    <w:rsid w:val="007F2D48"/>
    <w:rsid w:val="007F4BE6"/>
    <w:rsid w:val="007F6A55"/>
    <w:rsid w:val="00800EAB"/>
    <w:rsid w:val="008014B1"/>
    <w:rsid w:val="00801C99"/>
    <w:rsid w:val="008078B6"/>
    <w:rsid w:val="008115A5"/>
    <w:rsid w:val="00812075"/>
    <w:rsid w:val="00815D3D"/>
    <w:rsid w:val="008200E5"/>
    <w:rsid w:val="00820A1A"/>
    <w:rsid w:val="00821B3D"/>
    <w:rsid w:val="00823FA5"/>
    <w:rsid w:val="0082440A"/>
    <w:rsid w:val="0082604F"/>
    <w:rsid w:val="00827823"/>
    <w:rsid w:val="008332FD"/>
    <w:rsid w:val="00840E62"/>
    <w:rsid w:val="008426B4"/>
    <w:rsid w:val="008426BD"/>
    <w:rsid w:val="0084342A"/>
    <w:rsid w:val="0084393C"/>
    <w:rsid w:val="00844DDB"/>
    <w:rsid w:val="0085086E"/>
    <w:rsid w:val="00851238"/>
    <w:rsid w:val="0085330C"/>
    <w:rsid w:val="00855FBA"/>
    <w:rsid w:val="00860AF6"/>
    <w:rsid w:val="0086190A"/>
    <w:rsid w:val="00863CBC"/>
    <w:rsid w:val="00863E0B"/>
    <w:rsid w:val="00864F83"/>
    <w:rsid w:val="008722F1"/>
    <w:rsid w:val="0087335D"/>
    <w:rsid w:val="00873930"/>
    <w:rsid w:val="00876682"/>
    <w:rsid w:val="00876924"/>
    <w:rsid w:val="0087700B"/>
    <w:rsid w:val="008802E0"/>
    <w:rsid w:val="008837D3"/>
    <w:rsid w:val="008841DF"/>
    <w:rsid w:val="00884835"/>
    <w:rsid w:val="00886D07"/>
    <w:rsid w:val="00887261"/>
    <w:rsid w:val="008907ED"/>
    <w:rsid w:val="00891378"/>
    <w:rsid w:val="0089184D"/>
    <w:rsid w:val="00892B2E"/>
    <w:rsid w:val="00893962"/>
    <w:rsid w:val="00893969"/>
    <w:rsid w:val="00895710"/>
    <w:rsid w:val="008A3E13"/>
    <w:rsid w:val="008A404B"/>
    <w:rsid w:val="008A5AD2"/>
    <w:rsid w:val="008A6A1F"/>
    <w:rsid w:val="008B1384"/>
    <w:rsid w:val="008B30C0"/>
    <w:rsid w:val="008B5B36"/>
    <w:rsid w:val="008B6380"/>
    <w:rsid w:val="008B7C82"/>
    <w:rsid w:val="008C00A0"/>
    <w:rsid w:val="008C1098"/>
    <w:rsid w:val="008C23D6"/>
    <w:rsid w:val="008C2D4E"/>
    <w:rsid w:val="008C398A"/>
    <w:rsid w:val="008C4607"/>
    <w:rsid w:val="008C5290"/>
    <w:rsid w:val="008D1409"/>
    <w:rsid w:val="008D14CA"/>
    <w:rsid w:val="008D1D1D"/>
    <w:rsid w:val="008D2BA1"/>
    <w:rsid w:val="008D51BA"/>
    <w:rsid w:val="008E01C6"/>
    <w:rsid w:val="008E0484"/>
    <w:rsid w:val="008E1A2F"/>
    <w:rsid w:val="008E3CC6"/>
    <w:rsid w:val="008E3F0F"/>
    <w:rsid w:val="008E477F"/>
    <w:rsid w:val="008E4974"/>
    <w:rsid w:val="008E7984"/>
    <w:rsid w:val="008F0A0C"/>
    <w:rsid w:val="008F27D3"/>
    <w:rsid w:val="008F3066"/>
    <w:rsid w:val="008F31A2"/>
    <w:rsid w:val="008F3AB5"/>
    <w:rsid w:val="008F5D8E"/>
    <w:rsid w:val="008F7012"/>
    <w:rsid w:val="008F7232"/>
    <w:rsid w:val="00903B38"/>
    <w:rsid w:val="0090440E"/>
    <w:rsid w:val="009152A9"/>
    <w:rsid w:val="00920665"/>
    <w:rsid w:val="00924F44"/>
    <w:rsid w:val="00925FB6"/>
    <w:rsid w:val="009323AA"/>
    <w:rsid w:val="00934B22"/>
    <w:rsid w:val="00935023"/>
    <w:rsid w:val="00936A4D"/>
    <w:rsid w:val="00937015"/>
    <w:rsid w:val="00937B22"/>
    <w:rsid w:val="00940F4F"/>
    <w:rsid w:val="00943483"/>
    <w:rsid w:val="00947607"/>
    <w:rsid w:val="00951F3D"/>
    <w:rsid w:val="009521BA"/>
    <w:rsid w:val="00952274"/>
    <w:rsid w:val="00952A73"/>
    <w:rsid w:val="00955543"/>
    <w:rsid w:val="00955AEF"/>
    <w:rsid w:val="00956439"/>
    <w:rsid w:val="00957AC1"/>
    <w:rsid w:val="00961ACA"/>
    <w:rsid w:val="00961C3B"/>
    <w:rsid w:val="0096473F"/>
    <w:rsid w:val="00966105"/>
    <w:rsid w:val="00971755"/>
    <w:rsid w:val="00971DA4"/>
    <w:rsid w:val="00972458"/>
    <w:rsid w:val="00973D1D"/>
    <w:rsid w:val="00975505"/>
    <w:rsid w:val="009766D7"/>
    <w:rsid w:val="009777F6"/>
    <w:rsid w:val="009807F2"/>
    <w:rsid w:val="00981010"/>
    <w:rsid w:val="00982D5A"/>
    <w:rsid w:val="00984BAD"/>
    <w:rsid w:val="00985BF4"/>
    <w:rsid w:val="00991CEF"/>
    <w:rsid w:val="00996328"/>
    <w:rsid w:val="00996F60"/>
    <w:rsid w:val="009A1E8E"/>
    <w:rsid w:val="009A22D9"/>
    <w:rsid w:val="009A2702"/>
    <w:rsid w:val="009A278E"/>
    <w:rsid w:val="009A501F"/>
    <w:rsid w:val="009A7522"/>
    <w:rsid w:val="009B03AB"/>
    <w:rsid w:val="009B3158"/>
    <w:rsid w:val="009B600A"/>
    <w:rsid w:val="009B6214"/>
    <w:rsid w:val="009B716E"/>
    <w:rsid w:val="009C01A2"/>
    <w:rsid w:val="009C1C4C"/>
    <w:rsid w:val="009C2330"/>
    <w:rsid w:val="009C27DD"/>
    <w:rsid w:val="009C2847"/>
    <w:rsid w:val="009C7392"/>
    <w:rsid w:val="009E5A41"/>
    <w:rsid w:val="009E77C9"/>
    <w:rsid w:val="009F114F"/>
    <w:rsid w:val="009F1D68"/>
    <w:rsid w:val="009F35FE"/>
    <w:rsid w:val="009F4B4D"/>
    <w:rsid w:val="009F5777"/>
    <w:rsid w:val="009F7BCF"/>
    <w:rsid w:val="00A00543"/>
    <w:rsid w:val="00A011B3"/>
    <w:rsid w:val="00A01A50"/>
    <w:rsid w:val="00A01F6A"/>
    <w:rsid w:val="00A0432E"/>
    <w:rsid w:val="00A07230"/>
    <w:rsid w:val="00A14557"/>
    <w:rsid w:val="00A14E8F"/>
    <w:rsid w:val="00A15AD1"/>
    <w:rsid w:val="00A21697"/>
    <w:rsid w:val="00A2268A"/>
    <w:rsid w:val="00A264D9"/>
    <w:rsid w:val="00A27272"/>
    <w:rsid w:val="00A27FAD"/>
    <w:rsid w:val="00A31571"/>
    <w:rsid w:val="00A33177"/>
    <w:rsid w:val="00A36ECD"/>
    <w:rsid w:val="00A44B10"/>
    <w:rsid w:val="00A45554"/>
    <w:rsid w:val="00A45DE6"/>
    <w:rsid w:val="00A5162B"/>
    <w:rsid w:val="00A559F9"/>
    <w:rsid w:val="00A57A28"/>
    <w:rsid w:val="00A615D2"/>
    <w:rsid w:val="00A6191A"/>
    <w:rsid w:val="00A6654B"/>
    <w:rsid w:val="00A6769C"/>
    <w:rsid w:val="00A70374"/>
    <w:rsid w:val="00A71C02"/>
    <w:rsid w:val="00A71C7E"/>
    <w:rsid w:val="00A71CDE"/>
    <w:rsid w:val="00A72A6B"/>
    <w:rsid w:val="00A739BC"/>
    <w:rsid w:val="00A7424F"/>
    <w:rsid w:val="00A75059"/>
    <w:rsid w:val="00A8177A"/>
    <w:rsid w:val="00A86419"/>
    <w:rsid w:val="00A952ED"/>
    <w:rsid w:val="00A9612F"/>
    <w:rsid w:val="00AA6702"/>
    <w:rsid w:val="00AA6D2B"/>
    <w:rsid w:val="00AB0B03"/>
    <w:rsid w:val="00AB2ABA"/>
    <w:rsid w:val="00AB3EC2"/>
    <w:rsid w:val="00AB54CE"/>
    <w:rsid w:val="00AC0996"/>
    <w:rsid w:val="00AC1D1C"/>
    <w:rsid w:val="00AC4A58"/>
    <w:rsid w:val="00AC6F5D"/>
    <w:rsid w:val="00AC78A3"/>
    <w:rsid w:val="00AD0051"/>
    <w:rsid w:val="00AD24C8"/>
    <w:rsid w:val="00AD548E"/>
    <w:rsid w:val="00AD6CBB"/>
    <w:rsid w:val="00AD79AC"/>
    <w:rsid w:val="00AE0FE3"/>
    <w:rsid w:val="00AE47F8"/>
    <w:rsid w:val="00AE6A1A"/>
    <w:rsid w:val="00AF0FD6"/>
    <w:rsid w:val="00AF2192"/>
    <w:rsid w:val="00AF5B12"/>
    <w:rsid w:val="00B03219"/>
    <w:rsid w:val="00B06164"/>
    <w:rsid w:val="00B13246"/>
    <w:rsid w:val="00B138A8"/>
    <w:rsid w:val="00B13C43"/>
    <w:rsid w:val="00B15B0A"/>
    <w:rsid w:val="00B1639E"/>
    <w:rsid w:val="00B17FE9"/>
    <w:rsid w:val="00B211F6"/>
    <w:rsid w:val="00B2311C"/>
    <w:rsid w:val="00B23F6C"/>
    <w:rsid w:val="00B25ED3"/>
    <w:rsid w:val="00B309A9"/>
    <w:rsid w:val="00B317E8"/>
    <w:rsid w:val="00B333D2"/>
    <w:rsid w:val="00B3439D"/>
    <w:rsid w:val="00B34F7B"/>
    <w:rsid w:val="00B4213F"/>
    <w:rsid w:val="00B50C3D"/>
    <w:rsid w:val="00B56482"/>
    <w:rsid w:val="00B57C23"/>
    <w:rsid w:val="00B60D75"/>
    <w:rsid w:val="00B62CB9"/>
    <w:rsid w:val="00B636DF"/>
    <w:rsid w:val="00B64544"/>
    <w:rsid w:val="00B65CB0"/>
    <w:rsid w:val="00B71916"/>
    <w:rsid w:val="00B724DA"/>
    <w:rsid w:val="00B73892"/>
    <w:rsid w:val="00B75466"/>
    <w:rsid w:val="00B75897"/>
    <w:rsid w:val="00B76DBB"/>
    <w:rsid w:val="00B8050B"/>
    <w:rsid w:val="00B83002"/>
    <w:rsid w:val="00B833F9"/>
    <w:rsid w:val="00B87AB0"/>
    <w:rsid w:val="00B913C6"/>
    <w:rsid w:val="00B9300E"/>
    <w:rsid w:val="00B93E97"/>
    <w:rsid w:val="00B963F6"/>
    <w:rsid w:val="00BA02BF"/>
    <w:rsid w:val="00BA2EE5"/>
    <w:rsid w:val="00BA2F04"/>
    <w:rsid w:val="00BB1964"/>
    <w:rsid w:val="00BB19D9"/>
    <w:rsid w:val="00BB1F48"/>
    <w:rsid w:val="00BB4B07"/>
    <w:rsid w:val="00BB55AE"/>
    <w:rsid w:val="00BB72ED"/>
    <w:rsid w:val="00BC1FE0"/>
    <w:rsid w:val="00BC2545"/>
    <w:rsid w:val="00BC2E05"/>
    <w:rsid w:val="00BC4055"/>
    <w:rsid w:val="00BC4442"/>
    <w:rsid w:val="00BD26CE"/>
    <w:rsid w:val="00BD313B"/>
    <w:rsid w:val="00BD7B63"/>
    <w:rsid w:val="00BE27A1"/>
    <w:rsid w:val="00BE2860"/>
    <w:rsid w:val="00BE5A04"/>
    <w:rsid w:val="00BE6808"/>
    <w:rsid w:val="00BF2538"/>
    <w:rsid w:val="00BF5D83"/>
    <w:rsid w:val="00BF6FD9"/>
    <w:rsid w:val="00C022C5"/>
    <w:rsid w:val="00C02894"/>
    <w:rsid w:val="00C06B2D"/>
    <w:rsid w:val="00C06DC1"/>
    <w:rsid w:val="00C10061"/>
    <w:rsid w:val="00C14E80"/>
    <w:rsid w:val="00C151AC"/>
    <w:rsid w:val="00C16160"/>
    <w:rsid w:val="00C1653E"/>
    <w:rsid w:val="00C175C0"/>
    <w:rsid w:val="00C17F9A"/>
    <w:rsid w:val="00C24B00"/>
    <w:rsid w:val="00C24E9F"/>
    <w:rsid w:val="00C26207"/>
    <w:rsid w:val="00C32552"/>
    <w:rsid w:val="00C32CC9"/>
    <w:rsid w:val="00C33C65"/>
    <w:rsid w:val="00C353EF"/>
    <w:rsid w:val="00C41635"/>
    <w:rsid w:val="00C431AE"/>
    <w:rsid w:val="00C45362"/>
    <w:rsid w:val="00C475D2"/>
    <w:rsid w:val="00C5071A"/>
    <w:rsid w:val="00C51605"/>
    <w:rsid w:val="00C51F34"/>
    <w:rsid w:val="00C605B6"/>
    <w:rsid w:val="00C60DE8"/>
    <w:rsid w:val="00C621F5"/>
    <w:rsid w:val="00C62443"/>
    <w:rsid w:val="00C645C4"/>
    <w:rsid w:val="00C66CA8"/>
    <w:rsid w:val="00C67B06"/>
    <w:rsid w:val="00C67B4B"/>
    <w:rsid w:val="00C67E5D"/>
    <w:rsid w:val="00C70DF3"/>
    <w:rsid w:val="00C71EAA"/>
    <w:rsid w:val="00C741F3"/>
    <w:rsid w:val="00C74466"/>
    <w:rsid w:val="00C76C9A"/>
    <w:rsid w:val="00C7737C"/>
    <w:rsid w:val="00C8020A"/>
    <w:rsid w:val="00C812B5"/>
    <w:rsid w:val="00C81A07"/>
    <w:rsid w:val="00C85BAE"/>
    <w:rsid w:val="00C9099D"/>
    <w:rsid w:val="00C91E08"/>
    <w:rsid w:val="00C9362A"/>
    <w:rsid w:val="00C93650"/>
    <w:rsid w:val="00C96A6E"/>
    <w:rsid w:val="00CA4A7C"/>
    <w:rsid w:val="00CB1E9D"/>
    <w:rsid w:val="00CB29F9"/>
    <w:rsid w:val="00CB6734"/>
    <w:rsid w:val="00CB69BB"/>
    <w:rsid w:val="00CB7E6C"/>
    <w:rsid w:val="00CC0E03"/>
    <w:rsid w:val="00CC11CD"/>
    <w:rsid w:val="00CC19DC"/>
    <w:rsid w:val="00CC3E18"/>
    <w:rsid w:val="00CC5943"/>
    <w:rsid w:val="00CD1B0C"/>
    <w:rsid w:val="00CD3467"/>
    <w:rsid w:val="00CD41F7"/>
    <w:rsid w:val="00CD4310"/>
    <w:rsid w:val="00CD79FA"/>
    <w:rsid w:val="00CE345E"/>
    <w:rsid w:val="00CE4704"/>
    <w:rsid w:val="00CE794D"/>
    <w:rsid w:val="00CE7C94"/>
    <w:rsid w:val="00CF4B5A"/>
    <w:rsid w:val="00CF5285"/>
    <w:rsid w:val="00CF60E4"/>
    <w:rsid w:val="00D03216"/>
    <w:rsid w:val="00D05066"/>
    <w:rsid w:val="00D0530B"/>
    <w:rsid w:val="00D062FC"/>
    <w:rsid w:val="00D065DA"/>
    <w:rsid w:val="00D11185"/>
    <w:rsid w:val="00D11889"/>
    <w:rsid w:val="00D16189"/>
    <w:rsid w:val="00D16B55"/>
    <w:rsid w:val="00D22116"/>
    <w:rsid w:val="00D225BF"/>
    <w:rsid w:val="00D258A7"/>
    <w:rsid w:val="00D27684"/>
    <w:rsid w:val="00D329B5"/>
    <w:rsid w:val="00D354EE"/>
    <w:rsid w:val="00D40A95"/>
    <w:rsid w:val="00D40EFA"/>
    <w:rsid w:val="00D41690"/>
    <w:rsid w:val="00D42408"/>
    <w:rsid w:val="00D42A93"/>
    <w:rsid w:val="00D4483B"/>
    <w:rsid w:val="00D4769E"/>
    <w:rsid w:val="00D5006E"/>
    <w:rsid w:val="00D50199"/>
    <w:rsid w:val="00D51CB8"/>
    <w:rsid w:val="00D52CD0"/>
    <w:rsid w:val="00D53000"/>
    <w:rsid w:val="00D62E4D"/>
    <w:rsid w:val="00D65762"/>
    <w:rsid w:val="00D6581A"/>
    <w:rsid w:val="00D65C75"/>
    <w:rsid w:val="00D66375"/>
    <w:rsid w:val="00D66575"/>
    <w:rsid w:val="00D66F52"/>
    <w:rsid w:val="00D6759E"/>
    <w:rsid w:val="00D67BC0"/>
    <w:rsid w:val="00D723C6"/>
    <w:rsid w:val="00D76610"/>
    <w:rsid w:val="00D77931"/>
    <w:rsid w:val="00D85F04"/>
    <w:rsid w:val="00D865A2"/>
    <w:rsid w:val="00D90ABC"/>
    <w:rsid w:val="00D96640"/>
    <w:rsid w:val="00DA22ED"/>
    <w:rsid w:val="00DA3EBF"/>
    <w:rsid w:val="00DA5D70"/>
    <w:rsid w:val="00DB0E3A"/>
    <w:rsid w:val="00DB38A8"/>
    <w:rsid w:val="00DB534A"/>
    <w:rsid w:val="00DC22B3"/>
    <w:rsid w:val="00DC2FDC"/>
    <w:rsid w:val="00DC4EA9"/>
    <w:rsid w:val="00DC562D"/>
    <w:rsid w:val="00DD369E"/>
    <w:rsid w:val="00DD6EF8"/>
    <w:rsid w:val="00DE0BCA"/>
    <w:rsid w:val="00DE2258"/>
    <w:rsid w:val="00DE3A68"/>
    <w:rsid w:val="00DE5B96"/>
    <w:rsid w:val="00DE602E"/>
    <w:rsid w:val="00DE78CD"/>
    <w:rsid w:val="00DF5145"/>
    <w:rsid w:val="00DF5327"/>
    <w:rsid w:val="00DF6042"/>
    <w:rsid w:val="00DF6BDE"/>
    <w:rsid w:val="00E04DF0"/>
    <w:rsid w:val="00E066C2"/>
    <w:rsid w:val="00E0725F"/>
    <w:rsid w:val="00E11108"/>
    <w:rsid w:val="00E11ED3"/>
    <w:rsid w:val="00E11FA0"/>
    <w:rsid w:val="00E12C07"/>
    <w:rsid w:val="00E136B9"/>
    <w:rsid w:val="00E1576D"/>
    <w:rsid w:val="00E16E7A"/>
    <w:rsid w:val="00E16EA7"/>
    <w:rsid w:val="00E2241E"/>
    <w:rsid w:val="00E317BD"/>
    <w:rsid w:val="00E32FF4"/>
    <w:rsid w:val="00E41B0E"/>
    <w:rsid w:val="00E42CC0"/>
    <w:rsid w:val="00E42FD6"/>
    <w:rsid w:val="00E43D7B"/>
    <w:rsid w:val="00E458C1"/>
    <w:rsid w:val="00E46AC7"/>
    <w:rsid w:val="00E46F7D"/>
    <w:rsid w:val="00E475A0"/>
    <w:rsid w:val="00E477FA"/>
    <w:rsid w:val="00E51EC9"/>
    <w:rsid w:val="00E54125"/>
    <w:rsid w:val="00E542B2"/>
    <w:rsid w:val="00E54BD9"/>
    <w:rsid w:val="00E55E1D"/>
    <w:rsid w:val="00E55E70"/>
    <w:rsid w:val="00E56556"/>
    <w:rsid w:val="00E61957"/>
    <w:rsid w:val="00E61EEB"/>
    <w:rsid w:val="00E65740"/>
    <w:rsid w:val="00E66F4F"/>
    <w:rsid w:val="00E7285C"/>
    <w:rsid w:val="00E75646"/>
    <w:rsid w:val="00E76F2F"/>
    <w:rsid w:val="00E77C41"/>
    <w:rsid w:val="00E80572"/>
    <w:rsid w:val="00E816F5"/>
    <w:rsid w:val="00E81E61"/>
    <w:rsid w:val="00E8295D"/>
    <w:rsid w:val="00E84193"/>
    <w:rsid w:val="00E94795"/>
    <w:rsid w:val="00EA066D"/>
    <w:rsid w:val="00EA7DD8"/>
    <w:rsid w:val="00EB0772"/>
    <w:rsid w:val="00EB3288"/>
    <w:rsid w:val="00EB3693"/>
    <w:rsid w:val="00EB4369"/>
    <w:rsid w:val="00EB740D"/>
    <w:rsid w:val="00EC11F0"/>
    <w:rsid w:val="00EC1B48"/>
    <w:rsid w:val="00EC378B"/>
    <w:rsid w:val="00EC46B0"/>
    <w:rsid w:val="00EC62DD"/>
    <w:rsid w:val="00EC7573"/>
    <w:rsid w:val="00EC7819"/>
    <w:rsid w:val="00ED1BBA"/>
    <w:rsid w:val="00ED20EE"/>
    <w:rsid w:val="00ED31C6"/>
    <w:rsid w:val="00ED4737"/>
    <w:rsid w:val="00ED5068"/>
    <w:rsid w:val="00ED5150"/>
    <w:rsid w:val="00ED53C0"/>
    <w:rsid w:val="00ED5979"/>
    <w:rsid w:val="00ED5A67"/>
    <w:rsid w:val="00ED7996"/>
    <w:rsid w:val="00ED7ECE"/>
    <w:rsid w:val="00EE1539"/>
    <w:rsid w:val="00EE2803"/>
    <w:rsid w:val="00EE358E"/>
    <w:rsid w:val="00EE4090"/>
    <w:rsid w:val="00EE7822"/>
    <w:rsid w:val="00EF0B94"/>
    <w:rsid w:val="00EF0DA7"/>
    <w:rsid w:val="00EF4F6B"/>
    <w:rsid w:val="00EF696E"/>
    <w:rsid w:val="00EF6F48"/>
    <w:rsid w:val="00F0396C"/>
    <w:rsid w:val="00F03D77"/>
    <w:rsid w:val="00F04FF6"/>
    <w:rsid w:val="00F064E5"/>
    <w:rsid w:val="00F06C67"/>
    <w:rsid w:val="00F07B13"/>
    <w:rsid w:val="00F10A69"/>
    <w:rsid w:val="00F11C85"/>
    <w:rsid w:val="00F14781"/>
    <w:rsid w:val="00F15AB6"/>
    <w:rsid w:val="00F17546"/>
    <w:rsid w:val="00F17CC7"/>
    <w:rsid w:val="00F228F6"/>
    <w:rsid w:val="00F25E60"/>
    <w:rsid w:val="00F27DE4"/>
    <w:rsid w:val="00F3466A"/>
    <w:rsid w:val="00F35437"/>
    <w:rsid w:val="00F3593A"/>
    <w:rsid w:val="00F40903"/>
    <w:rsid w:val="00F41AA7"/>
    <w:rsid w:val="00F422BC"/>
    <w:rsid w:val="00F42D60"/>
    <w:rsid w:val="00F43968"/>
    <w:rsid w:val="00F444DB"/>
    <w:rsid w:val="00F44858"/>
    <w:rsid w:val="00F45157"/>
    <w:rsid w:val="00F46725"/>
    <w:rsid w:val="00F5004B"/>
    <w:rsid w:val="00F538A6"/>
    <w:rsid w:val="00F6106C"/>
    <w:rsid w:val="00F63C09"/>
    <w:rsid w:val="00F64A40"/>
    <w:rsid w:val="00F64B91"/>
    <w:rsid w:val="00F6678A"/>
    <w:rsid w:val="00F7600A"/>
    <w:rsid w:val="00F77CC7"/>
    <w:rsid w:val="00F840CB"/>
    <w:rsid w:val="00F915DF"/>
    <w:rsid w:val="00F942A1"/>
    <w:rsid w:val="00F96084"/>
    <w:rsid w:val="00F96D50"/>
    <w:rsid w:val="00FA2864"/>
    <w:rsid w:val="00FA5011"/>
    <w:rsid w:val="00FA7054"/>
    <w:rsid w:val="00FA7570"/>
    <w:rsid w:val="00FB4024"/>
    <w:rsid w:val="00FB45E3"/>
    <w:rsid w:val="00FC0238"/>
    <w:rsid w:val="00FC025D"/>
    <w:rsid w:val="00FC3730"/>
    <w:rsid w:val="00FC43DC"/>
    <w:rsid w:val="00FC48EE"/>
    <w:rsid w:val="00FC58B5"/>
    <w:rsid w:val="00FD03AC"/>
    <w:rsid w:val="00FD1381"/>
    <w:rsid w:val="00FD200D"/>
    <w:rsid w:val="00FD2F56"/>
    <w:rsid w:val="00FD6984"/>
    <w:rsid w:val="00FE042F"/>
    <w:rsid w:val="00FE05F5"/>
    <w:rsid w:val="00FE0A82"/>
    <w:rsid w:val="00FE199E"/>
    <w:rsid w:val="00FE1D40"/>
    <w:rsid w:val="00FE4C1E"/>
    <w:rsid w:val="00FE675C"/>
    <w:rsid w:val="00FE745F"/>
    <w:rsid w:val="00FF17BF"/>
    <w:rsid w:val="00FF1A8B"/>
    <w:rsid w:val="00FF30C6"/>
    <w:rsid w:val="00FF4AD0"/>
    <w:rsid w:val="00FF64A1"/>
    <w:rsid w:val="0A76409F"/>
    <w:rsid w:val="20C42711"/>
    <w:rsid w:val="41282CAE"/>
    <w:rsid w:val="42463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2"/>
      <o:rules v:ext="edit">
        <o:r id="V:Rule1" type="connector" idref="#直接箭头连接符 1"/>
      </o:rules>
    </o:shapelayout>
  </w:shapeDefaults>
  <w:decimalSymbol w:val="."/>
  <w:listSeparator w:val=","/>
  <w14:docId w14:val="5B592590"/>
  <w15:docId w15:val="{92E93DC4-D475-4C28-B21A-384F2AA6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auto"/>
      <w:jc w:val="both"/>
    </w:pPr>
    <w:rPr>
      <w:rFonts w:ascii="Times New Roman" w:eastAsia="宋体" w:hAnsi="Times New Roman"/>
      <w:kern w:val="2"/>
      <w:sz w:val="24"/>
      <w:szCs w:val="22"/>
    </w:rPr>
  </w:style>
  <w:style w:type="paragraph" w:styleId="1">
    <w:name w:val="heading 1"/>
    <w:basedOn w:val="a"/>
    <w:next w:val="a"/>
    <w:link w:val="10"/>
    <w:uiPriority w:val="9"/>
    <w:qFormat/>
    <w:pPr>
      <w:keepNext/>
      <w:keepLines/>
      <w:numPr>
        <w:numId w:val="1"/>
      </w:numPr>
      <w:spacing w:before="200" w:after="200" w:line="400" w:lineRule="exact"/>
      <w:ind w:left="0" w:firstLine="0"/>
      <w:outlineLvl w:val="0"/>
    </w:pPr>
    <w:rPr>
      <w:b/>
      <w:bCs/>
      <w:kern w:val="44"/>
      <w:sz w:val="30"/>
      <w:szCs w:val="44"/>
    </w:rPr>
  </w:style>
  <w:style w:type="paragraph" w:styleId="2">
    <w:name w:val="heading 2"/>
    <w:basedOn w:val="a"/>
    <w:next w:val="a"/>
    <w:link w:val="20"/>
    <w:uiPriority w:val="9"/>
    <w:unhideWhenUsed/>
    <w:qFormat/>
    <w:pPr>
      <w:keepNext/>
      <w:keepLines/>
      <w:numPr>
        <w:ilvl w:val="1"/>
        <w:numId w:val="1"/>
      </w:numPr>
      <w:spacing w:before="120" w:after="120" w:line="400" w:lineRule="exact"/>
      <w:ind w:left="0" w:firstLine="0"/>
      <w:outlineLvl w:val="1"/>
    </w:pPr>
    <w:rPr>
      <w:rFonts w:cstheme="majorBidi"/>
      <w:b/>
      <w:bCs/>
      <w:sz w:val="28"/>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jc w:val="center"/>
    </w:pPr>
    <w:rPr>
      <w:rFonts w:eastAsia="黑体" w:cstheme="majorBidi"/>
      <w:sz w:val="21"/>
      <w:szCs w:val="20"/>
    </w:rPr>
  </w:style>
  <w:style w:type="paragraph" w:styleId="a5">
    <w:name w:val="annotation text"/>
    <w:basedOn w:val="a"/>
    <w:uiPriority w:val="99"/>
    <w:semiHidden/>
    <w:unhideWhenUsed/>
    <w:pPr>
      <w:jc w:val="left"/>
    </w:pPr>
  </w:style>
  <w:style w:type="paragraph" w:styleId="a6">
    <w:name w:val="Body Text Indent"/>
    <w:basedOn w:val="a"/>
    <w:link w:val="a7"/>
    <w:qFormat/>
    <w:pPr>
      <w:widowControl w:val="0"/>
      <w:ind w:left="420"/>
    </w:pPr>
    <w:rPr>
      <w:rFonts w:ascii="宋体" w:eastAsiaTheme="minorEastAsia"/>
      <w:szCs w:val="20"/>
    </w:rPr>
  </w:style>
  <w:style w:type="paragraph" w:styleId="a8">
    <w:name w:val="footer"/>
    <w:basedOn w:val="a"/>
    <w:link w:val="a9"/>
    <w:uiPriority w:val="99"/>
    <w:unhideWhenUsed/>
    <w:qFormat/>
    <w:pPr>
      <w:tabs>
        <w:tab w:val="center" w:pos="4153"/>
        <w:tab w:val="right" w:pos="8306"/>
      </w:tabs>
      <w:snapToGrid w:val="0"/>
      <w:spacing w:line="240" w:lineRule="auto"/>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c">
    <w:name w:val="Title"/>
    <w:basedOn w:val="a"/>
    <w:next w:val="a"/>
    <w:link w:val="ad"/>
    <w:uiPriority w:val="10"/>
    <w:qFormat/>
    <w:pPr>
      <w:spacing w:before="240" w:after="60"/>
      <w:jc w:val="center"/>
    </w:pPr>
    <w:rPr>
      <w:rFonts w:eastAsia="黑体" w:cstheme="majorBidi"/>
      <w:b/>
      <w:bCs/>
      <w:sz w:val="32"/>
      <w:szCs w:val="32"/>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qFormat/>
    <w:rPr>
      <w:color w:val="0563C1" w:themeColor="hyperlink"/>
      <w:u w:val="single"/>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10">
    <w:name w:val="标题 1 字符"/>
    <w:basedOn w:val="a0"/>
    <w:link w:val="1"/>
    <w:uiPriority w:val="9"/>
    <w:qFormat/>
    <w:rPr>
      <w:rFonts w:ascii="Times New Roman" w:eastAsia="宋体" w:hAnsi="Times New Roman"/>
      <w:b/>
      <w:bCs/>
      <w:kern w:val="44"/>
      <w:sz w:val="30"/>
      <w:szCs w:val="44"/>
    </w:rPr>
  </w:style>
  <w:style w:type="paragraph" w:customStyle="1" w:styleId="TOC10">
    <w:name w:val="TOC 标题1"/>
    <w:basedOn w:val="1"/>
    <w:next w:val="a"/>
    <w:uiPriority w:val="39"/>
    <w:unhideWhenUsed/>
    <w:qFormat/>
    <w:pPr>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20">
    <w:name w:val="标题 2 字符"/>
    <w:basedOn w:val="a0"/>
    <w:link w:val="2"/>
    <w:uiPriority w:val="9"/>
    <w:rPr>
      <w:rFonts w:ascii="Times New Roman" w:eastAsia="宋体" w:hAnsi="Times New Roman" w:cstheme="majorBidi"/>
      <w:b/>
      <w:bCs/>
      <w:kern w:val="2"/>
      <w:sz w:val="28"/>
      <w:szCs w:val="32"/>
    </w:rPr>
  </w:style>
  <w:style w:type="character" w:customStyle="1" w:styleId="a7">
    <w:name w:val="正文文本缩进 字符"/>
    <w:basedOn w:val="a0"/>
    <w:link w:val="a6"/>
    <w:qFormat/>
    <w:rPr>
      <w:rFonts w:ascii="宋体" w:hAnsi="Times New Roman"/>
      <w:sz w:val="24"/>
      <w:szCs w:val="20"/>
    </w:rPr>
  </w:style>
  <w:style w:type="paragraph" w:customStyle="1" w:styleId="af0">
    <w:name w:val="表格"/>
    <w:basedOn w:val="a6"/>
    <w:link w:val="af1"/>
    <w:qFormat/>
    <w:pPr>
      <w:ind w:left="0"/>
      <w:jc w:val="center"/>
    </w:pPr>
    <w:rPr>
      <w:rFonts w:ascii="Times New Roman" w:eastAsia="宋体"/>
      <w:bCs/>
      <w:szCs w:val="21"/>
    </w:rPr>
  </w:style>
  <w:style w:type="character" w:customStyle="1" w:styleId="af1">
    <w:name w:val="表格 字符"/>
    <w:basedOn w:val="a7"/>
    <w:link w:val="af0"/>
    <w:qFormat/>
    <w:rPr>
      <w:rFonts w:ascii="Times New Roman" w:eastAsia="宋体" w:hAnsi="Times New Roman"/>
      <w:bCs/>
      <w:sz w:val="24"/>
      <w:szCs w:val="21"/>
    </w:rPr>
  </w:style>
  <w:style w:type="paragraph" w:customStyle="1" w:styleId="af2">
    <w:name w:val="表名"/>
    <w:basedOn w:val="a3"/>
    <w:link w:val="af3"/>
    <w:qFormat/>
  </w:style>
  <w:style w:type="paragraph" w:styleId="af4">
    <w:name w:val="List Paragraph"/>
    <w:basedOn w:val="a"/>
    <w:link w:val="af5"/>
    <w:qFormat/>
    <w:pPr>
      <w:ind w:firstLineChars="200" w:firstLine="420"/>
    </w:pPr>
  </w:style>
  <w:style w:type="character" w:customStyle="1" w:styleId="a4">
    <w:name w:val="题注 字符"/>
    <w:basedOn w:val="a0"/>
    <w:link w:val="a3"/>
    <w:qFormat/>
    <w:rPr>
      <w:rFonts w:ascii="Times New Roman" w:eastAsia="黑体" w:hAnsi="Times New Roman" w:cstheme="majorBidi"/>
      <w:kern w:val="2"/>
      <w:sz w:val="21"/>
    </w:rPr>
  </w:style>
  <w:style w:type="character" w:customStyle="1" w:styleId="af3">
    <w:name w:val="表名 字符"/>
    <w:basedOn w:val="a4"/>
    <w:link w:val="af2"/>
    <w:qFormat/>
    <w:rPr>
      <w:rFonts w:ascii="Times New Roman" w:eastAsia="黑体" w:hAnsi="Times New Roman" w:cstheme="majorBidi"/>
      <w:kern w:val="2"/>
      <w:sz w:val="20"/>
      <w:szCs w:val="20"/>
    </w:rPr>
  </w:style>
  <w:style w:type="character" w:customStyle="1" w:styleId="30">
    <w:name w:val="标题 3 字符"/>
    <w:basedOn w:val="a0"/>
    <w:link w:val="3"/>
    <w:uiPriority w:val="9"/>
    <w:qFormat/>
    <w:rPr>
      <w:rFonts w:ascii="Times New Roman" w:eastAsia="宋体" w:hAnsi="Times New Roman"/>
      <w:b/>
      <w:bCs/>
      <w:sz w:val="32"/>
      <w:szCs w:val="32"/>
    </w:rPr>
  </w:style>
  <w:style w:type="paragraph" w:customStyle="1" w:styleId="af6">
    <w:name w:val="公式"/>
    <w:basedOn w:val="a"/>
    <w:link w:val="af7"/>
    <w:qFormat/>
    <w:pPr>
      <w:widowControl w:val="0"/>
      <w:tabs>
        <w:tab w:val="center" w:pos="4080"/>
        <w:tab w:val="center" w:pos="7350"/>
        <w:tab w:val="right" w:leader="dot" w:pos="8160"/>
      </w:tabs>
    </w:pPr>
    <w:rPr>
      <w:rFonts w:ascii="Cambria Math" w:hAnsi="Cambria Math" w:cs="Times New Roman"/>
      <w:iCs/>
      <w:sz w:val="21"/>
      <w:szCs w:val="21"/>
    </w:rPr>
  </w:style>
  <w:style w:type="character" w:customStyle="1" w:styleId="af7">
    <w:name w:val="公式 字符"/>
    <w:basedOn w:val="a4"/>
    <w:link w:val="af6"/>
    <w:qFormat/>
    <w:rPr>
      <w:rFonts w:ascii="Cambria Math" w:eastAsia="宋体" w:hAnsi="Cambria Math" w:cs="Times New Roman"/>
      <w:iCs/>
      <w:kern w:val="2"/>
      <w:sz w:val="21"/>
      <w:szCs w:val="21"/>
    </w:rPr>
  </w:style>
  <w:style w:type="paragraph" w:customStyle="1" w:styleId="af8">
    <w:name w:val="附录表标题"/>
    <w:basedOn w:val="a"/>
    <w:next w:val="a"/>
    <w:qFormat/>
    <w:pPr>
      <w:widowControl w:val="0"/>
      <w:spacing w:beforeLines="50" w:before="50" w:afterLines="50" w:after="50"/>
      <w:jc w:val="center"/>
    </w:pPr>
    <w:rPr>
      <w:rFonts w:ascii="黑体" w:eastAsia="黑体" w:hAnsi="宋体" w:cs="Times New Roman"/>
      <w:sz w:val="21"/>
      <w:szCs w:val="21"/>
    </w:rPr>
  </w:style>
  <w:style w:type="paragraph" w:customStyle="1" w:styleId="af9">
    <w:name w:val="表格文字"/>
    <w:basedOn w:val="a"/>
    <w:link w:val="afa"/>
    <w:qFormat/>
    <w:pPr>
      <w:widowControl w:val="0"/>
      <w:jc w:val="center"/>
    </w:pPr>
    <w:rPr>
      <w:rFonts w:cs="Times New Roman"/>
      <w:bCs/>
      <w:sz w:val="21"/>
      <w:szCs w:val="18"/>
    </w:rPr>
  </w:style>
  <w:style w:type="character" w:customStyle="1" w:styleId="afa">
    <w:name w:val="表格文字 字符"/>
    <w:basedOn w:val="a0"/>
    <w:link w:val="af9"/>
    <w:qFormat/>
    <w:rPr>
      <w:rFonts w:ascii="Times New Roman" w:eastAsia="宋体" w:hAnsi="Times New Roman" w:cs="Times New Roman"/>
      <w:bCs/>
      <w:kern w:val="2"/>
      <w:sz w:val="21"/>
      <w:szCs w:val="18"/>
    </w:rPr>
  </w:style>
  <w:style w:type="paragraph" w:customStyle="1" w:styleId="afb">
    <w:name w:val="插图"/>
    <w:basedOn w:val="a"/>
    <w:link w:val="afc"/>
    <w:qFormat/>
    <w:pPr>
      <w:jc w:val="center"/>
    </w:pPr>
  </w:style>
  <w:style w:type="character" w:customStyle="1" w:styleId="afc">
    <w:name w:val="插图 字符"/>
    <w:basedOn w:val="a0"/>
    <w:link w:val="afb"/>
    <w:qFormat/>
    <w:rPr>
      <w:rFonts w:ascii="Times New Roman" w:eastAsia="宋体" w:hAnsi="Times New Roman"/>
      <w:kern w:val="2"/>
      <w:sz w:val="24"/>
      <w:szCs w:val="22"/>
    </w:rPr>
  </w:style>
  <w:style w:type="character" w:customStyle="1" w:styleId="ad">
    <w:name w:val="标题 字符"/>
    <w:basedOn w:val="a0"/>
    <w:link w:val="ac"/>
    <w:uiPriority w:val="10"/>
    <w:qFormat/>
    <w:rPr>
      <w:rFonts w:ascii="Times New Roman" w:eastAsia="黑体" w:hAnsi="Times New Roman" w:cstheme="majorBidi"/>
      <w:b/>
      <w:bCs/>
      <w:kern w:val="2"/>
      <w:sz w:val="32"/>
      <w:szCs w:val="32"/>
    </w:rPr>
  </w:style>
  <w:style w:type="character" w:customStyle="1" w:styleId="af5">
    <w:name w:val="列表段落 字符"/>
    <w:link w:val="af4"/>
    <w:qFormat/>
    <w:rPr>
      <w:rFonts w:ascii="Times New Roman" w:eastAsia="宋体" w:hAnsi="Times New Roman"/>
      <w:kern w:val="2"/>
      <w:sz w:val="24"/>
      <w:szCs w:val="22"/>
    </w:rPr>
  </w:style>
  <w:style w:type="character" w:styleId="afd">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chart" Target="charts/chart2.xml"/><Relationship Id="rId10" Type="http://schemas.openxmlformats.org/officeDocument/2006/relationships/header" Target="header2.xm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66910d25f79db0c8/&#24037;&#20316;&#21306;/&#26631;&#20934;&#25991;&#26412;&#32534;&#21046;/&#36895;&#24230;&#20462;&#27491;&#31995;&#25968;.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66910d25f79db0c8/&#24037;&#20316;&#21306;/&#26631;&#20934;&#25991;&#26412;&#32534;&#21046;/&#36895;&#24230;&#20462;&#27491;&#31995;&#25968;.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66910d25f79db0c8/&#24037;&#20316;&#21306;/&#26631;&#20934;&#25991;&#26412;&#32534;&#21046;/&#36895;&#24230;&#20462;&#27491;&#31995;&#25968;.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'燃油车（系数拟合）'!$C$1</c:f>
              <c:strCache>
                <c:ptCount val="1"/>
                <c:pt idx="0">
                  <c:v>GBT4352-2022修正系数</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2"/>
            <c:dispRSqr val="1"/>
            <c:dispEq val="1"/>
            <c:trendlineLbl>
              <c:layout>
                <c:manualLayout>
                  <c:x val="0.15"/>
                  <c:y val="0.12938065033537499"/>
                </c:manualLayout>
              </c:layout>
              <c:numFmt formatCode="General" sourceLinked="0"/>
              <c:spPr>
                <a:noFill/>
                <a:ln>
                  <a:noFill/>
                </a:ln>
                <a:effectLst/>
              </c:spPr>
              <c:txPr>
                <a:bodyPr rot="0" spcFirstLastPara="1" vertOverflow="ellipsis" vert="horz" wrap="square" anchor="ctr" anchorCtr="1"/>
                <a:lstStyle/>
                <a:p>
                  <a:pPr>
                    <a:defRPr lang="zh-CN" sz="1200" b="0" i="0" u="none" strike="noStrike" kern="1200" baseline="0">
                      <a:solidFill>
                        <a:schemeClr val="tx1">
                          <a:lumMod val="65000"/>
                          <a:lumOff val="35000"/>
                        </a:schemeClr>
                      </a:solidFill>
                      <a:latin typeface="Times New Roman" panose="02020603050405020304" charset="0"/>
                      <a:ea typeface="宋体" panose="02010600030101010101" charset="-122"/>
                      <a:cs typeface="Times New Roman" panose="02020603050405020304" charset="0"/>
                    </a:defRPr>
                  </a:pPr>
                  <a:endParaRPr lang="zh-CN"/>
                </a:p>
              </c:txPr>
            </c:trendlineLbl>
          </c:trendline>
          <c:xVal>
            <c:numRef>
              <c:f>'燃油车（系数拟合）'!$B$4:$B$9</c:f>
              <c:numCache>
                <c:formatCode>General</c:formatCode>
                <c:ptCount val="6"/>
                <c:pt idx="0">
                  <c:v>20</c:v>
                </c:pt>
                <c:pt idx="1">
                  <c:v>25</c:v>
                </c:pt>
                <c:pt idx="2">
                  <c:v>35</c:v>
                </c:pt>
                <c:pt idx="3">
                  <c:v>40</c:v>
                </c:pt>
                <c:pt idx="4">
                  <c:v>45</c:v>
                </c:pt>
                <c:pt idx="5">
                  <c:v>50</c:v>
                </c:pt>
              </c:numCache>
            </c:numRef>
          </c:xVal>
          <c:yVal>
            <c:numRef>
              <c:f>'燃油车（系数拟合）'!$C$4:$C$9</c:f>
              <c:numCache>
                <c:formatCode>0.00</c:formatCode>
                <c:ptCount val="6"/>
                <c:pt idx="0">
                  <c:v>1.3</c:v>
                </c:pt>
                <c:pt idx="1">
                  <c:v>1.1499999999999999</c:v>
                </c:pt>
                <c:pt idx="2">
                  <c:v>1</c:v>
                </c:pt>
                <c:pt idx="4">
                  <c:v>0.9</c:v>
                </c:pt>
                <c:pt idx="5">
                  <c:v>0.8</c:v>
                </c:pt>
              </c:numCache>
            </c:numRef>
          </c:yVal>
          <c:smooth val="0"/>
          <c:extLst>
            <c:ext xmlns:c16="http://schemas.microsoft.com/office/drawing/2014/chart" uri="{C3380CC4-5D6E-409C-BE32-E72D297353CC}">
              <c16:uniqueId val="{00000001-0C3E-4117-A140-2D7A677F5394}"/>
            </c:ext>
          </c:extLst>
        </c:ser>
        <c:ser>
          <c:idx val="1"/>
          <c:order val="1"/>
          <c:tx>
            <c:strRef>
              <c:f>'燃油车（系数拟合）'!$E$1</c:f>
              <c:strCache>
                <c:ptCount val="1"/>
                <c:pt idx="0">
                  <c:v>调整后修正系数（40km/h为基准）</c:v>
                </c:pt>
              </c:strCache>
            </c:strRef>
          </c:tx>
          <c:spPr>
            <a:ln w="19050" cap="rnd">
              <a:solidFill>
                <a:schemeClr val="accent2"/>
              </a:solidFill>
              <a:round/>
            </a:ln>
            <a:effectLst/>
          </c:spPr>
          <c:marker>
            <c:symbol val="none"/>
          </c:marker>
          <c:xVal>
            <c:numRef>
              <c:f>'燃油车（系数拟合）'!$B$2:$B$16</c:f>
              <c:numCache>
                <c:formatCode>General</c:formatCode>
                <c:ptCount val="15"/>
                <c:pt idx="0">
                  <c:v>2</c:v>
                </c:pt>
                <c:pt idx="1">
                  <c:v>10</c:v>
                </c:pt>
                <c:pt idx="2">
                  <c:v>20</c:v>
                </c:pt>
                <c:pt idx="3">
                  <c:v>25</c:v>
                </c:pt>
                <c:pt idx="4">
                  <c:v>35</c:v>
                </c:pt>
                <c:pt idx="5">
                  <c:v>40</c:v>
                </c:pt>
                <c:pt idx="6">
                  <c:v>45</c:v>
                </c:pt>
                <c:pt idx="7">
                  <c:v>50</c:v>
                </c:pt>
                <c:pt idx="8">
                  <c:v>65</c:v>
                </c:pt>
                <c:pt idx="9">
                  <c:v>70</c:v>
                </c:pt>
                <c:pt idx="10">
                  <c:v>80</c:v>
                </c:pt>
                <c:pt idx="11">
                  <c:v>90</c:v>
                </c:pt>
                <c:pt idx="12">
                  <c:v>100</c:v>
                </c:pt>
                <c:pt idx="13">
                  <c:v>110</c:v>
                </c:pt>
                <c:pt idx="14">
                  <c:v>120</c:v>
                </c:pt>
              </c:numCache>
            </c:numRef>
          </c:xVal>
          <c:yVal>
            <c:numRef>
              <c:f>'燃油车（系数拟合）'!$E$2:$E$16</c:f>
              <c:numCache>
                <c:formatCode>0.00</c:formatCode>
                <c:ptCount val="15"/>
                <c:pt idx="0">
                  <c:v>1.9344262295082</c:v>
                </c:pt>
                <c:pt idx="1">
                  <c:v>1.6845369960124099</c:v>
                </c:pt>
                <c:pt idx="2">
                  <c:v>1.4120513956579499</c:v>
                </c:pt>
                <c:pt idx="3">
                  <c:v>1.2924235711120999</c:v>
                </c:pt>
                <c:pt idx="4">
                  <c:v>1.0863978732831201</c:v>
                </c:pt>
                <c:pt idx="5">
                  <c:v>1</c:v>
                </c:pt>
                <c:pt idx="6">
                  <c:v>0.92467877713779301</c:v>
                </c:pt>
                <c:pt idx="7">
                  <c:v>0.8604342046965</c:v>
                </c:pt>
                <c:pt idx="8">
                  <c:v>0.73416038989809496</c:v>
                </c:pt>
                <c:pt idx="9">
                  <c:v>0.71422241914045204</c:v>
                </c:pt>
                <c:pt idx="10">
                  <c:v>0.70757642888790395</c:v>
                </c:pt>
                <c:pt idx="11">
                  <c:v>0.74523704031900795</c:v>
                </c:pt>
                <c:pt idx="12">
                  <c:v>0.82720425343376103</c:v>
                </c:pt>
                <c:pt idx="13">
                  <c:v>0.95347806823216696</c:v>
                </c:pt>
                <c:pt idx="14">
                  <c:v>1.1240584847142201</c:v>
                </c:pt>
              </c:numCache>
            </c:numRef>
          </c:yVal>
          <c:smooth val="0"/>
          <c:extLst>
            <c:ext xmlns:c16="http://schemas.microsoft.com/office/drawing/2014/chart" uri="{C3380CC4-5D6E-409C-BE32-E72D297353CC}">
              <c16:uniqueId val="{00000002-0C3E-4117-A140-2D7A677F5394}"/>
            </c:ext>
          </c:extLst>
        </c:ser>
        <c:ser>
          <c:idx val="2"/>
          <c:order val="2"/>
          <c:tx>
            <c:strRef>
              <c:f>'燃油车（系数拟合）'!$D$1</c:f>
              <c:strCache>
                <c:ptCount val="1"/>
                <c:pt idx="0">
                  <c:v>完整拟合曲线</c:v>
                </c:pt>
              </c:strCache>
            </c:strRef>
          </c:tx>
          <c:spPr>
            <a:ln w="19050" cap="rnd">
              <a:solidFill>
                <a:schemeClr val="accent3"/>
              </a:solidFill>
              <a:prstDash val="dash"/>
              <a:round/>
            </a:ln>
            <a:effectLst/>
          </c:spPr>
          <c:marker>
            <c:symbol val="none"/>
          </c:marker>
          <c:xVal>
            <c:numRef>
              <c:f>'燃油车（系数拟合）'!$B$2:$B$16</c:f>
              <c:numCache>
                <c:formatCode>General</c:formatCode>
                <c:ptCount val="15"/>
                <c:pt idx="0">
                  <c:v>2</c:v>
                </c:pt>
                <c:pt idx="1">
                  <c:v>10</c:v>
                </c:pt>
                <c:pt idx="2">
                  <c:v>20</c:v>
                </c:pt>
                <c:pt idx="3">
                  <c:v>25</c:v>
                </c:pt>
                <c:pt idx="4">
                  <c:v>35</c:v>
                </c:pt>
                <c:pt idx="5">
                  <c:v>40</c:v>
                </c:pt>
                <c:pt idx="6">
                  <c:v>45</c:v>
                </c:pt>
                <c:pt idx="7">
                  <c:v>50</c:v>
                </c:pt>
                <c:pt idx="8">
                  <c:v>65</c:v>
                </c:pt>
                <c:pt idx="9">
                  <c:v>70</c:v>
                </c:pt>
                <c:pt idx="10">
                  <c:v>80</c:v>
                </c:pt>
                <c:pt idx="11">
                  <c:v>90</c:v>
                </c:pt>
                <c:pt idx="12">
                  <c:v>100</c:v>
                </c:pt>
                <c:pt idx="13">
                  <c:v>110</c:v>
                </c:pt>
                <c:pt idx="14">
                  <c:v>120</c:v>
                </c:pt>
              </c:numCache>
            </c:numRef>
          </c:xVal>
          <c:yVal>
            <c:numRef>
              <c:f>'燃油车（系数拟合）'!$D$2:$D$16</c:f>
              <c:numCache>
                <c:formatCode>0.00</c:formatCode>
                <c:ptCount val="15"/>
                <c:pt idx="0">
                  <c:v>1.7464</c:v>
                </c:pt>
                <c:pt idx="1">
                  <c:v>1.5207999999999999</c:v>
                </c:pt>
                <c:pt idx="2">
                  <c:v>1.2747999999999999</c:v>
                </c:pt>
                <c:pt idx="3">
                  <c:v>1.1668000000000001</c:v>
                </c:pt>
                <c:pt idx="4">
                  <c:v>0.98080000000000001</c:v>
                </c:pt>
                <c:pt idx="5">
                  <c:v>0.90280000000000005</c:v>
                </c:pt>
                <c:pt idx="6">
                  <c:v>0.83479999999999999</c:v>
                </c:pt>
                <c:pt idx="7">
                  <c:v>0.77680000000000005</c:v>
                </c:pt>
                <c:pt idx="8">
                  <c:v>0.66279999999999994</c:v>
                </c:pt>
                <c:pt idx="9">
                  <c:v>0.64480000000000004</c:v>
                </c:pt>
                <c:pt idx="10">
                  <c:v>0.63880000000000003</c:v>
                </c:pt>
                <c:pt idx="11">
                  <c:v>0.67279999999999995</c:v>
                </c:pt>
                <c:pt idx="12">
                  <c:v>0.74680000000000002</c:v>
                </c:pt>
                <c:pt idx="13">
                  <c:v>0.86080000000000001</c:v>
                </c:pt>
                <c:pt idx="14">
                  <c:v>1.0147999999999999</c:v>
                </c:pt>
              </c:numCache>
            </c:numRef>
          </c:yVal>
          <c:smooth val="0"/>
          <c:extLst>
            <c:ext xmlns:c16="http://schemas.microsoft.com/office/drawing/2014/chart" uri="{C3380CC4-5D6E-409C-BE32-E72D297353CC}">
              <c16:uniqueId val="{00000003-0C3E-4117-A140-2D7A677F5394}"/>
            </c:ext>
          </c:extLst>
        </c:ser>
        <c:dLbls>
          <c:showLegendKey val="0"/>
          <c:showVal val="0"/>
          <c:showCatName val="0"/>
          <c:showSerName val="0"/>
          <c:showPercent val="0"/>
          <c:showBubbleSize val="0"/>
        </c:dLbls>
        <c:axId val="1408992463"/>
        <c:axId val="1409015759"/>
      </c:scatterChart>
      <c:valAx>
        <c:axId val="1408992463"/>
        <c:scaling>
          <c:orientation val="minMax"/>
          <c:max val="12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zh-CN" sz="1200" b="0" i="0" u="none" strike="noStrike" kern="1200" baseline="0">
                    <a:solidFill>
                      <a:schemeClr val="tx1">
                        <a:lumMod val="65000"/>
                        <a:lumOff val="35000"/>
                      </a:schemeClr>
                    </a:solidFill>
                    <a:latin typeface="Times New Roman" panose="02020603050405020304" charset="0"/>
                    <a:ea typeface="宋体" panose="02010600030101010101" charset="-122"/>
                    <a:cs typeface="Times New Roman" panose="02020603050405020304" charset="0"/>
                  </a:defRPr>
                </a:pPr>
                <a:r>
                  <a:rPr lang="zh-CN"/>
                  <a:t>平均速度（</a:t>
                </a:r>
                <a:r>
                  <a:rPr lang="en-US"/>
                  <a:t>km/h</a:t>
                </a:r>
                <a:r>
                  <a:rPr lang="zh-CN"/>
                  <a:t>）</a:t>
                </a:r>
              </a:p>
            </c:rich>
          </c:tx>
          <c:overlay val="0"/>
          <c:spPr>
            <a:noFill/>
            <a:ln>
              <a:noFill/>
            </a:ln>
            <a:effectLst/>
          </c:spPr>
          <c:txPr>
            <a:bodyPr rot="0" spcFirstLastPara="1" vertOverflow="ellipsis" vert="horz" wrap="square" anchor="ctr" anchorCtr="1"/>
            <a:lstStyle/>
            <a:p>
              <a:pPr>
                <a:defRPr lang="zh-CN" sz="1200" b="0" i="0" u="none" strike="noStrike" kern="1200" baseline="0">
                  <a:solidFill>
                    <a:schemeClr val="tx1">
                      <a:lumMod val="65000"/>
                      <a:lumOff val="35000"/>
                    </a:schemeClr>
                  </a:solidFill>
                  <a:latin typeface="Times New Roman" panose="02020603050405020304" charset="0"/>
                  <a:ea typeface="宋体" panose="02010600030101010101" charset="-122"/>
                  <a:cs typeface="Times New Roman" panose="02020603050405020304" charset="0"/>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1200" b="0" i="0" u="none" strike="noStrike" kern="1200" baseline="0">
                <a:solidFill>
                  <a:schemeClr val="tx1">
                    <a:lumMod val="65000"/>
                    <a:lumOff val="35000"/>
                  </a:schemeClr>
                </a:solidFill>
                <a:latin typeface="Times New Roman" panose="02020603050405020304" charset="0"/>
                <a:ea typeface="宋体" panose="02010600030101010101" charset="-122"/>
                <a:cs typeface="Times New Roman" panose="02020603050405020304" charset="0"/>
              </a:defRPr>
            </a:pPr>
            <a:endParaRPr lang="zh-CN"/>
          </a:p>
        </c:txPr>
        <c:crossAx val="1409015759"/>
        <c:crosses val="autoZero"/>
        <c:crossBetween val="midCat"/>
        <c:majorUnit val="10"/>
        <c:minorUnit val="10"/>
      </c:valAx>
      <c:valAx>
        <c:axId val="140901575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200" b="0" i="0" u="none" strike="noStrike" kern="1200" baseline="0">
                    <a:solidFill>
                      <a:schemeClr val="tx1">
                        <a:lumMod val="65000"/>
                        <a:lumOff val="35000"/>
                      </a:schemeClr>
                    </a:solidFill>
                    <a:latin typeface="Times New Roman" panose="02020603050405020304" charset="0"/>
                    <a:ea typeface="宋体" panose="02010600030101010101" charset="-122"/>
                    <a:cs typeface="Times New Roman" panose="02020603050405020304" charset="0"/>
                  </a:defRPr>
                </a:pPr>
                <a:r>
                  <a:rPr lang="zh-CN"/>
                  <a:t>能耗量速度修正系数</a:t>
                </a:r>
              </a:p>
            </c:rich>
          </c:tx>
          <c:overlay val="0"/>
          <c:spPr>
            <a:noFill/>
            <a:ln>
              <a:noFill/>
            </a:ln>
            <a:effectLst/>
          </c:spPr>
          <c:txPr>
            <a:bodyPr rot="-5400000" spcFirstLastPara="1" vertOverflow="ellipsis" vert="horz" wrap="square" anchor="ctr" anchorCtr="1"/>
            <a:lstStyle/>
            <a:p>
              <a:pPr>
                <a:defRPr lang="zh-CN" sz="1200" b="0" i="0" u="none" strike="noStrike" kern="1200" baseline="0">
                  <a:solidFill>
                    <a:schemeClr val="tx1">
                      <a:lumMod val="65000"/>
                      <a:lumOff val="35000"/>
                    </a:schemeClr>
                  </a:solidFill>
                  <a:latin typeface="Times New Roman" panose="02020603050405020304" charset="0"/>
                  <a:ea typeface="宋体" panose="02010600030101010101" charset="-122"/>
                  <a:cs typeface="Times New Roman" panose="02020603050405020304" charset="0"/>
                </a:defRPr>
              </a:pPr>
              <a:endParaRPr lang="zh-CN"/>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1200" b="0" i="0" u="none" strike="noStrike" kern="1200" baseline="0">
                <a:solidFill>
                  <a:schemeClr val="tx1">
                    <a:lumMod val="65000"/>
                    <a:lumOff val="35000"/>
                  </a:schemeClr>
                </a:solidFill>
                <a:latin typeface="Times New Roman" panose="02020603050405020304" charset="0"/>
                <a:ea typeface="宋体" panose="02010600030101010101" charset="-122"/>
                <a:cs typeface="Times New Roman" panose="02020603050405020304" charset="0"/>
              </a:defRPr>
            </a:pPr>
            <a:endParaRPr lang="zh-CN"/>
          </a:p>
        </c:txPr>
        <c:crossAx val="1408992463"/>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1200" b="0" i="0" u="none" strike="noStrike" kern="1200" baseline="0">
              <a:solidFill>
                <a:schemeClr val="tx1">
                  <a:lumMod val="65000"/>
                  <a:lumOff val="35000"/>
                </a:schemeClr>
              </a:solidFill>
              <a:latin typeface="Times New Roman" panose="02020603050405020304" charset="0"/>
              <a:ea typeface="宋体" panose="02010600030101010101" charset="-122"/>
              <a:cs typeface="Times New Roman" panose="02020603050405020304" charset="0"/>
            </a:defRPr>
          </a:pPr>
          <a:endParaRPr lang="zh-CN"/>
        </a:p>
      </c:txPr>
    </c:legend>
    <c:plotVisOnly val="1"/>
    <c:dispBlanksAs val="gap"/>
    <c:showDLblsOverMax val="0"/>
  </c:chart>
  <c:spPr>
    <a:solidFill>
      <a:schemeClr val="bg1"/>
    </a:solidFill>
    <a:ln w="9525" cap="flat" cmpd="sng" algn="ctr">
      <a:noFill/>
      <a:round/>
    </a:ln>
    <a:effectLst/>
  </c:spPr>
  <c:txPr>
    <a:bodyPr/>
    <a:lstStyle/>
    <a:p>
      <a:pPr>
        <a:defRPr lang="zh-CN" sz="1200">
          <a:latin typeface="Times New Roman" panose="02020603050405020304" charset="0"/>
          <a:ea typeface="宋体" panose="02010600030101010101" charset="-122"/>
          <a:cs typeface="Times New Roman" panose="02020603050405020304" charset="0"/>
        </a:defRPr>
      </a:pPr>
      <a:endParaRPr lang="zh-CN"/>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高速汽车电耗模型!$D$2</c:f>
              <c:strCache>
                <c:ptCount val="1"/>
                <c:pt idx="0">
                  <c:v>百公里电耗</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2"/>
            <c:dispRSqr val="1"/>
            <c:dispEq val="1"/>
            <c:trendlineLbl>
              <c:layout>
                <c:manualLayout>
                  <c:x val="-3.5797244094488201E-2"/>
                  <c:y val="-0.220804170312044"/>
                </c:manualLayout>
              </c:layout>
              <c:numFmt formatCode="General" sourceLinked="0"/>
              <c:spPr>
                <a:noFill/>
                <a:ln>
                  <a:noFill/>
                </a:ln>
                <a:effectLst/>
              </c:spPr>
              <c:txPr>
                <a:bodyPr rot="0" spcFirstLastPara="1" vertOverflow="ellipsis" vert="horz" wrap="square" anchor="ctr" anchorCtr="1"/>
                <a:lstStyle/>
                <a:p>
                  <a:pPr>
                    <a:defRPr lang="zh-CN" sz="1200" b="0" i="0" u="none" strike="noStrike" kern="1200" baseline="0">
                      <a:solidFill>
                        <a:schemeClr val="tx1">
                          <a:lumMod val="65000"/>
                          <a:lumOff val="35000"/>
                        </a:schemeClr>
                      </a:solidFill>
                      <a:latin typeface="Times New Roman" panose="02020603050405020304" charset="0"/>
                      <a:ea typeface="宋体" panose="02010600030101010101" charset="-122"/>
                      <a:cs typeface="Times New Roman" panose="02020603050405020304" charset="0"/>
                    </a:defRPr>
                  </a:pPr>
                  <a:endParaRPr lang="zh-CN"/>
                </a:p>
              </c:txPr>
            </c:trendlineLbl>
          </c:trendline>
          <c:xVal>
            <c:numRef>
              <c:f>高速汽车电耗模型!$A$3:$A$25</c:f>
              <c:numCache>
                <c:formatCode>0</c:formatCode>
                <c:ptCount val="23"/>
                <c:pt idx="0">
                  <c:v>2.7450980392156898</c:v>
                </c:pt>
                <c:pt idx="1">
                  <c:v>7.8431372549019596</c:v>
                </c:pt>
                <c:pt idx="2">
                  <c:v>11.9607843137254</c:v>
                </c:pt>
                <c:pt idx="3">
                  <c:v>16.862745098039198</c:v>
                </c:pt>
                <c:pt idx="4">
                  <c:v>21.960784313725402</c:v>
                </c:pt>
                <c:pt idx="5">
                  <c:v>26.862745098039198</c:v>
                </c:pt>
                <c:pt idx="6">
                  <c:v>32.745098039215598</c:v>
                </c:pt>
                <c:pt idx="7">
                  <c:v>37.058823529411697</c:v>
                </c:pt>
                <c:pt idx="8">
                  <c:v>42.745098039215598</c:v>
                </c:pt>
                <c:pt idx="9">
                  <c:v>47.647058823529399</c:v>
                </c:pt>
                <c:pt idx="10">
                  <c:v>52.745098039215598</c:v>
                </c:pt>
                <c:pt idx="11">
                  <c:v>57.843137254901897</c:v>
                </c:pt>
                <c:pt idx="12">
                  <c:v>62.5490196078431</c:v>
                </c:pt>
                <c:pt idx="13">
                  <c:v>67.058823529411697</c:v>
                </c:pt>
                <c:pt idx="14">
                  <c:v>72.549019607843107</c:v>
                </c:pt>
                <c:pt idx="15">
                  <c:v>77.843137254901904</c:v>
                </c:pt>
                <c:pt idx="16">
                  <c:v>84.705882352941103</c:v>
                </c:pt>
                <c:pt idx="17">
                  <c:v>88.039215686274503</c:v>
                </c:pt>
                <c:pt idx="18">
                  <c:v>91.764705882352899</c:v>
                </c:pt>
                <c:pt idx="19">
                  <c:v>97.647058823529306</c:v>
                </c:pt>
                <c:pt idx="20">
                  <c:v>108.823529411764</c:v>
                </c:pt>
                <c:pt idx="21">
                  <c:v>112.941176470588</c:v>
                </c:pt>
                <c:pt idx="22">
                  <c:v>102.54901960784299</c:v>
                </c:pt>
              </c:numCache>
            </c:numRef>
          </c:xVal>
          <c:yVal>
            <c:numRef>
              <c:f>高速汽车电耗模型!$D$3:$D$25</c:f>
              <c:numCache>
                <c:formatCode>0</c:formatCode>
                <c:ptCount val="23"/>
                <c:pt idx="0">
                  <c:v>51.131563736605699</c:v>
                </c:pt>
                <c:pt idx="1">
                  <c:v>24.7718134872996</c:v>
                </c:pt>
                <c:pt idx="2">
                  <c:v>23.183876725293199</c:v>
                </c:pt>
                <c:pt idx="3">
                  <c:v>23.5014640776945</c:v>
                </c:pt>
                <c:pt idx="4">
                  <c:v>21.9135273156881</c:v>
                </c:pt>
                <c:pt idx="5">
                  <c:v>12.862287772251801</c:v>
                </c:pt>
                <c:pt idx="6">
                  <c:v>18.896447467876001</c:v>
                </c:pt>
                <c:pt idx="7">
                  <c:v>14.6090182104588</c:v>
                </c:pt>
                <c:pt idx="8">
                  <c:v>13.656256153254899</c:v>
                </c:pt>
                <c:pt idx="9">
                  <c:v>16.514542324866301</c:v>
                </c:pt>
                <c:pt idx="10">
                  <c:v>16.514542324866301</c:v>
                </c:pt>
                <c:pt idx="11">
                  <c:v>9.6864142482389699</c:v>
                </c:pt>
                <c:pt idx="12">
                  <c:v>9.6864142482389699</c:v>
                </c:pt>
                <c:pt idx="13">
                  <c:v>16.832129677267702</c:v>
                </c:pt>
                <c:pt idx="14">
                  <c:v>22.866289372891998</c:v>
                </c:pt>
                <c:pt idx="15">
                  <c:v>14.6090182104588</c:v>
                </c:pt>
                <c:pt idx="16">
                  <c:v>12.7034940960511</c:v>
                </c:pt>
                <c:pt idx="17">
                  <c:v>12.3859067436498</c:v>
                </c:pt>
                <c:pt idx="18">
                  <c:v>16.355748648665699</c:v>
                </c:pt>
                <c:pt idx="19">
                  <c:v>13.179875124653</c:v>
                </c:pt>
                <c:pt idx="20">
                  <c:v>11.2743510102454</c:v>
                </c:pt>
                <c:pt idx="21">
                  <c:v>17.626098058270799</c:v>
                </c:pt>
                <c:pt idx="22">
                  <c:v>28.7416553923156</c:v>
                </c:pt>
              </c:numCache>
            </c:numRef>
          </c:yVal>
          <c:smooth val="0"/>
          <c:extLst>
            <c:ext xmlns:c16="http://schemas.microsoft.com/office/drawing/2014/chart" uri="{C3380CC4-5D6E-409C-BE32-E72D297353CC}">
              <c16:uniqueId val="{00000001-41EE-4E83-84D4-10CE11B6408F}"/>
            </c:ext>
          </c:extLst>
        </c:ser>
        <c:dLbls>
          <c:showLegendKey val="0"/>
          <c:showVal val="0"/>
          <c:showCatName val="0"/>
          <c:showSerName val="0"/>
          <c:showPercent val="0"/>
          <c:showBubbleSize val="0"/>
        </c:dLbls>
        <c:axId val="391745728"/>
        <c:axId val="1331187775"/>
      </c:scatterChart>
      <c:valAx>
        <c:axId val="3917457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zh-CN" sz="1200" b="0" i="0" u="none" strike="noStrike" kern="1200" baseline="0">
                    <a:solidFill>
                      <a:schemeClr val="tx1">
                        <a:lumMod val="65000"/>
                        <a:lumOff val="35000"/>
                      </a:schemeClr>
                    </a:solidFill>
                    <a:latin typeface="Times New Roman" panose="02020603050405020304" charset="0"/>
                    <a:ea typeface="宋体" panose="02010600030101010101" charset="-122"/>
                    <a:cs typeface="Times New Roman" panose="02020603050405020304" charset="0"/>
                  </a:defRPr>
                </a:pPr>
                <a:r>
                  <a:rPr lang="zh-CN"/>
                  <a:t>速度（</a:t>
                </a:r>
                <a:r>
                  <a:rPr lang="en-US"/>
                  <a:t>km/h</a:t>
                </a:r>
                <a:r>
                  <a:rPr lang="zh-CN"/>
                  <a:t>）</a:t>
                </a:r>
              </a:p>
            </c:rich>
          </c:tx>
          <c:overlay val="0"/>
          <c:spPr>
            <a:noFill/>
            <a:ln>
              <a:noFill/>
            </a:ln>
            <a:effectLst/>
          </c:spPr>
          <c:txPr>
            <a:bodyPr rot="0" spcFirstLastPara="1" vertOverflow="ellipsis" vert="horz" wrap="square" anchor="ctr" anchorCtr="1"/>
            <a:lstStyle/>
            <a:p>
              <a:pPr>
                <a:defRPr lang="zh-CN" sz="1200" b="0" i="0" u="none" strike="noStrike" kern="1200" baseline="0">
                  <a:solidFill>
                    <a:schemeClr val="tx1">
                      <a:lumMod val="65000"/>
                      <a:lumOff val="35000"/>
                    </a:schemeClr>
                  </a:solidFill>
                  <a:latin typeface="Times New Roman" panose="02020603050405020304" charset="0"/>
                  <a:ea typeface="宋体" panose="02010600030101010101" charset="-122"/>
                  <a:cs typeface="Times New Roman" panose="02020603050405020304" charset="0"/>
                </a:defRPr>
              </a:pPr>
              <a:endParaRPr lang="zh-CN"/>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1200" b="0" i="0" u="none" strike="noStrike" kern="1200" baseline="0">
                <a:solidFill>
                  <a:schemeClr val="tx1">
                    <a:lumMod val="65000"/>
                    <a:lumOff val="35000"/>
                  </a:schemeClr>
                </a:solidFill>
                <a:latin typeface="Times New Roman" panose="02020603050405020304" charset="0"/>
                <a:ea typeface="宋体" panose="02010600030101010101" charset="-122"/>
                <a:cs typeface="Times New Roman" panose="02020603050405020304" charset="0"/>
              </a:defRPr>
            </a:pPr>
            <a:endParaRPr lang="zh-CN"/>
          </a:p>
        </c:txPr>
        <c:crossAx val="1331187775"/>
        <c:crosses val="autoZero"/>
        <c:crossBetween val="midCat"/>
      </c:valAx>
      <c:valAx>
        <c:axId val="133118777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200" b="0" i="0" u="none" strike="noStrike" kern="1200" baseline="0">
                    <a:solidFill>
                      <a:schemeClr val="tx1">
                        <a:lumMod val="65000"/>
                        <a:lumOff val="35000"/>
                      </a:schemeClr>
                    </a:solidFill>
                    <a:latin typeface="Times New Roman" panose="02020603050405020304" charset="0"/>
                    <a:ea typeface="宋体" panose="02010600030101010101" charset="-122"/>
                    <a:cs typeface="Times New Roman" panose="02020603050405020304" charset="0"/>
                  </a:defRPr>
                </a:pPr>
                <a:r>
                  <a:rPr lang="zh-CN"/>
                  <a:t>百公里电耗（</a:t>
                </a:r>
                <a:r>
                  <a:rPr lang="en-US"/>
                  <a:t>kWh/100km</a:t>
                </a:r>
                <a:r>
                  <a:rPr lang="zh-CN"/>
                  <a:t>）</a:t>
                </a:r>
              </a:p>
            </c:rich>
          </c:tx>
          <c:overlay val="0"/>
          <c:spPr>
            <a:noFill/>
            <a:ln>
              <a:noFill/>
            </a:ln>
            <a:effectLst/>
          </c:spPr>
          <c:txPr>
            <a:bodyPr rot="-5400000" spcFirstLastPara="1" vertOverflow="ellipsis" vert="horz" wrap="square" anchor="ctr" anchorCtr="1"/>
            <a:lstStyle/>
            <a:p>
              <a:pPr>
                <a:defRPr lang="zh-CN" sz="1200" b="0" i="0" u="none" strike="noStrike" kern="1200" baseline="0">
                  <a:solidFill>
                    <a:schemeClr val="tx1">
                      <a:lumMod val="65000"/>
                      <a:lumOff val="35000"/>
                    </a:schemeClr>
                  </a:solidFill>
                  <a:latin typeface="Times New Roman" panose="02020603050405020304" charset="0"/>
                  <a:ea typeface="宋体" panose="02010600030101010101" charset="-122"/>
                  <a:cs typeface="Times New Roman" panose="02020603050405020304" charset="0"/>
                </a:defRPr>
              </a:pPr>
              <a:endParaRPr lang="zh-CN"/>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1200" b="0" i="0" u="none" strike="noStrike" kern="1200" baseline="0">
                <a:solidFill>
                  <a:schemeClr val="tx1">
                    <a:lumMod val="65000"/>
                    <a:lumOff val="35000"/>
                  </a:schemeClr>
                </a:solidFill>
                <a:latin typeface="Times New Roman" panose="02020603050405020304" charset="0"/>
                <a:ea typeface="宋体" panose="02010600030101010101" charset="-122"/>
                <a:cs typeface="Times New Roman" panose="02020603050405020304" charset="0"/>
              </a:defRPr>
            </a:pPr>
            <a:endParaRPr lang="zh-CN"/>
          </a:p>
        </c:txPr>
        <c:crossAx val="39174572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1200" b="0" i="0" u="none" strike="noStrike" kern="1200" baseline="0">
              <a:solidFill>
                <a:schemeClr val="tx1">
                  <a:lumMod val="65000"/>
                  <a:lumOff val="35000"/>
                </a:schemeClr>
              </a:solidFill>
              <a:latin typeface="Times New Roman" panose="02020603050405020304" charset="0"/>
              <a:ea typeface="宋体" panose="02010600030101010101" charset="-122"/>
              <a:cs typeface="Times New Roman" panose="02020603050405020304" charset="0"/>
            </a:defRPr>
          </a:pPr>
          <a:endParaRPr lang="zh-CN"/>
        </a:p>
      </c:txPr>
    </c:legend>
    <c:plotVisOnly val="1"/>
    <c:dispBlanksAs val="gap"/>
    <c:showDLblsOverMax val="0"/>
  </c:chart>
  <c:spPr>
    <a:solidFill>
      <a:schemeClr val="bg1"/>
    </a:solidFill>
    <a:ln w="9525" cap="flat" cmpd="sng" algn="ctr">
      <a:noFill/>
      <a:round/>
    </a:ln>
    <a:effectLst/>
  </c:spPr>
  <c:txPr>
    <a:bodyPr/>
    <a:lstStyle/>
    <a:p>
      <a:pPr>
        <a:defRPr lang="zh-CN" sz="1200">
          <a:latin typeface="Times New Roman" panose="02020603050405020304" charset="0"/>
          <a:ea typeface="宋体" panose="02010600030101010101" charset="-122"/>
          <a:cs typeface="Times New Roman" panose="02020603050405020304" charset="0"/>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对比!$L$1</c:f>
              <c:strCache>
                <c:ptCount val="1"/>
                <c:pt idx="0">
                  <c:v>化石燃料车型油耗量速度修正系数</c:v>
                </c:pt>
              </c:strCache>
            </c:strRef>
          </c:tx>
          <c:spPr>
            <a:ln w="28575" cap="rnd">
              <a:solidFill>
                <a:schemeClr val="accent1"/>
              </a:solidFill>
              <a:prstDash val="solid"/>
              <a:round/>
            </a:ln>
            <a:effectLst/>
          </c:spPr>
          <c:marker>
            <c:symbol val="none"/>
          </c:marker>
          <c:cat>
            <c:numRef>
              <c:f>对比!$J$3:$J$14</c:f>
              <c:numCache>
                <c:formatCode>General</c:formatCode>
                <c:ptCount val="12"/>
                <c:pt idx="0">
                  <c:v>10</c:v>
                </c:pt>
                <c:pt idx="1">
                  <c:v>20</c:v>
                </c:pt>
                <c:pt idx="2">
                  <c:v>30</c:v>
                </c:pt>
                <c:pt idx="3">
                  <c:v>40</c:v>
                </c:pt>
                <c:pt idx="4">
                  <c:v>50</c:v>
                </c:pt>
                <c:pt idx="5">
                  <c:v>60</c:v>
                </c:pt>
                <c:pt idx="6">
                  <c:v>70</c:v>
                </c:pt>
                <c:pt idx="7">
                  <c:v>80</c:v>
                </c:pt>
                <c:pt idx="8">
                  <c:v>90</c:v>
                </c:pt>
                <c:pt idx="9">
                  <c:v>100</c:v>
                </c:pt>
                <c:pt idx="10">
                  <c:v>110</c:v>
                </c:pt>
                <c:pt idx="11">
                  <c:v>120</c:v>
                </c:pt>
              </c:numCache>
            </c:numRef>
          </c:cat>
          <c:val>
            <c:numRef>
              <c:f>对比!$L$3:$L$14</c:f>
              <c:numCache>
                <c:formatCode>General</c:formatCode>
                <c:ptCount val="12"/>
                <c:pt idx="0">
                  <c:v>1.6845369960124099</c:v>
                </c:pt>
                <c:pt idx="1">
                  <c:v>1.4120513956579499</c:v>
                </c:pt>
                <c:pt idx="2">
                  <c:v>1.1838723969871501</c:v>
                </c:pt>
                <c:pt idx="3">
                  <c:v>1</c:v>
                </c:pt>
                <c:pt idx="4">
                  <c:v>0.8604342046965</c:v>
                </c:pt>
                <c:pt idx="5">
                  <c:v>0.76517501107664998</c:v>
                </c:pt>
                <c:pt idx="6">
                  <c:v>0.71422241914045204</c:v>
                </c:pt>
                <c:pt idx="7">
                  <c:v>0.70757642888790495</c:v>
                </c:pt>
                <c:pt idx="8">
                  <c:v>0.74523704031900795</c:v>
                </c:pt>
                <c:pt idx="9">
                  <c:v>0.82720425343376203</c:v>
                </c:pt>
                <c:pt idx="10">
                  <c:v>0.95347806823216696</c:v>
                </c:pt>
                <c:pt idx="11">
                  <c:v>1.1240584847142201</c:v>
                </c:pt>
              </c:numCache>
            </c:numRef>
          </c:val>
          <c:smooth val="0"/>
          <c:extLst>
            <c:ext xmlns:c16="http://schemas.microsoft.com/office/drawing/2014/chart" uri="{C3380CC4-5D6E-409C-BE32-E72D297353CC}">
              <c16:uniqueId val="{00000000-18DA-4E80-A6B4-7E31F05B7AD1}"/>
            </c:ext>
          </c:extLst>
        </c:ser>
        <c:ser>
          <c:idx val="1"/>
          <c:order val="1"/>
          <c:tx>
            <c:strRef>
              <c:f>对比!$M$1</c:f>
              <c:strCache>
                <c:ptCount val="1"/>
                <c:pt idx="0">
                  <c:v>纯电动车型电耗量速度修正系数</c:v>
                </c:pt>
              </c:strCache>
            </c:strRef>
          </c:tx>
          <c:spPr>
            <a:ln w="28575" cap="rnd">
              <a:solidFill>
                <a:schemeClr val="accent2"/>
              </a:solidFill>
              <a:prstDash val="dash"/>
              <a:round/>
            </a:ln>
            <a:effectLst/>
          </c:spPr>
          <c:marker>
            <c:symbol val="none"/>
          </c:marker>
          <c:cat>
            <c:numRef>
              <c:f>对比!$J$3:$J$14</c:f>
              <c:numCache>
                <c:formatCode>General</c:formatCode>
                <c:ptCount val="12"/>
                <c:pt idx="0">
                  <c:v>10</c:v>
                </c:pt>
                <c:pt idx="1">
                  <c:v>20</c:v>
                </c:pt>
                <c:pt idx="2">
                  <c:v>30</c:v>
                </c:pt>
                <c:pt idx="3">
                  <c:v>40</c:v>
                </c:pt>
                <c:pt idx="4">
                  <c:v>50</c:v>
                </c:pt>
                <c:pt idx="5">
                  <c:v>60</c:v>
                </c:pt>
                <c:pt idx="6">
                  <c:v>70</c:v>
                </c:pt>
                <c:pt idx="7">
                  <c:v>80</c:v>
                </c:pt>
                <c:pt idx="8">
                  <c:v>90</c:v>
                </c:pt>
                <c:pt idx="9">
                  <c:v>100</c:v>
                </c:pt>
                <c:pt idx="10">
                  <c:v>110</c:v>
                </c:pt>
                <c:pt idx="11">
                  <c:v>120</c:v>
                </c:pt>
              </c:numCache>
            </c:numRef>
          </c:cat>
          <c:val>
            <c:numRef>
              <c:f>对比!$M$3:$M$14</c:f>
              <c:numCache>
                <c:formatCode>0.00000</c:formatCode>
                <c:ptCount val="12"/>
                <c:pt idx="0">
                  <c:v>1.7720322658319301</c:v>
                </c:pt>
                <c:pt idx="1">
                  <c:v>1.4568986274981901</c:v>
                </c:pt>
                <c:pt idx="2">
                  <c:v>1.1995545388875499</c:v>
                </c:pt>
                <c:pt idx="3">
                  <c:v>1</c:v>
                </c:pt>
                <c:pt idx="4">
                  <c:v>0.85823501083554099</c:v>
                </c:pt>
                <c:pt idx="5">
                  <c:v>0.77425957139417301</c:v>
                </c:pt>
                <c:pt idx="6">
                  <c:v>0.74807368167589705</c:v>
                </c:pt>
                <c:pt idx="7">
                  <c:v>0.77967734168071301</c:v>
                </c:pt>
                <c:pt idx="8">
                  <c:v>0.86907055140862</c:v>
                </c:pt>
                <c:pt idx="9">
                  <c:v>1.0162533108596199</c:v>
                </c:pt>
                <c:pt idx="10">
                  <c:v>1.2212256200337099</c:v>
                </c:pt>
                <c:pt idx="11">
                  <c:v>1.48398747893089</c:v>
                </c:pt>
              </c:numCache>
            </c:numRef>
          </c:val>
          <c:smooth val="0"/>
          <c:extLst>
            <c:ext xmlns:c16="http://schemas.microsoft.com/office/drawing/2014/chart" uri="{C3380CC4-5D6E-409C-BE32-E72D297353CC}">
              <c16:uniqueId val="{00000001-18DA-4E80-A6B4-7E31F05B7AD1}"/>
            </c:ext>
          </c:extLst>
        </c:ser>
        <c:dLbls>
          <c:showLegendKey val="0"/>
          <c:showVal val="0"/>
          <c:showCatName val="0"/>
          <c:showSerName val="0"/>
          <c:showPercent val="0"/>
          <c:showBubbleSize val="0"/>
        </c:dLbls>
        <c:smooth val="0"/>
        <c:axId val="1349829615"/>
        <c:axId val="1357660271"/>
      </c:lineChart>
      <c:catAx>
        <c:axId val="134982961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1200" b="0" i="0" u="none" strike="noStrike" kern="1200" baseline="0">
                <a:solidFill>
                  <a:schemeClr val="tx1">
                    <a:lumMod val="65000"/>
                    <a:lumOff val="35000"/>
                  </a:schemeClr>
                </a:solidFill>
                <a:latin typeface="Times New Roman" panose="02020603050405020304" charset="0"/>
                <a:ea typeface="宋体" panose="02010600030101010101" charset="-122"/>
                <a:cs typeface="Times New Roman" panose="02020603050405020304" charset="0"/>
              </a:defRPr>
            </a:pPr>
            <a:endParaRPr lang="zh-CN"/>
          </a:p>
        </c:txPr>
        <c:crossAx val="1357660271"/>
        <c:crosses val="autoZero"/>
        <c:auto val="1"/>
        <c:lblAlgn val="ctr"/>
        <c:lblOffset val="100"/>
        <c:noMultiLvlLbl val="0"/>
      </c:catAx>
      <c:valAx>
        <c:axId val="13576602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1200" b="0" i="0" u="none" strike="noStrike" kern="1200" baseline="0">
                <a:solidFill>
                  <a:schemeClr val="tx1">
                    <a:lumMod val="65000"/>
                    <a:lumOff val="35000"/>
                  </a:schemeClr>
                </a:solidFill>
                <a:latin typeface="Times New Roman" panose="02020603050405020304" charset="0"/>
                <a:ea typeface="宋体" panose="02010600030101010101" charset="-122"/>
                <a:cs typeface="Times New Roman" panose="02020603050405020304" charset="0"/>
              </a:defRPr>
            </a:pPr>
            <a:endParaRPr lang="zh-CN"/>
          </a:p>
        </c:txPr>
        <c:crossAx val="13498296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1200" b="0" i="0" u="none" strike="noStrike" kern="1200" baseline="0">
              <a:solidFill>
                <a:schemeClr val="tx1">
                  <a:lumMod val="65000"/>
                  <a:lumOff val="35000"/>
                </a:schemeClr>
              </a:solidFill>
              <a:latin typeface="Times New Roman" panose="02020603050405020304" charset="0"/>
              <a:ea typeface="宋体" panose="02010600030101010101" charset="-122"/>
              <a:cs typeface="Times New Roman" panose="02020603050405020304"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200">
          <a:latin typeface="Times New Roman" panose="02020603050405020304" charset="0"/>
          <a:ea typeface="宋体" panose="02010600030101010101" charset="-122"/>
          <a:cs typeface="Times New Roman" panose="02020603050405020304" charset="0"/>
        </a:defRPr>
      </a:pPr>
      <a:endParaRPr lang="zh-CN"/>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9.emf"/></Relationships>
</file>

<file path=word/drawings/_rels/drawing2.xml.rels><?xml version="1.0" encoding="UTF-8" standalone="yes"?>
<Relationships xmlns="http://schemas.openxmlformats.org/package/2006/relationships"><Relationship Id="rId2" Type="http://schemas.openxmlformats.org/officeDocument/2006/relationships/image" Target="../media/image11.emf"/><Relationship Id="rId1" Type="http://schemas.openxmlformats.org/officeDocument/2006/relationships/image" Target="../media/image10.emf"/></Relationships>
</file>

<file path=word/drawings/drawing1.xml><?xml version="1.0" encoding="utf-8"?>
<c:userShapes xmlns:c="http://schemas.openxmlformats.org/drawingml/2006/chart">
  <cdr:relSizeAnchor xmlns:cdr="http://schemas.openxmlformats.org/drawingml/2006/chartDrawing">
    <cdr:from>
      <cdr:x>0</cdr:x>
      <cdr:y>0.15833</cdr:y>
    </cdr:from>
    <cdr:to>
      <cdr:x>1</cdr:x>
      <cdr:y>0.22773</cdr:y>
    </cdr:to>
    <cdr:pic>
      <cdr:nvPicPr>
        <cdr:cNvPr id="2" name="图片 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695324"/>
          <a:ext cx="5274310" cy="304801"/>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0.66177</cdr:x>
      <cdr:y>0.15002</cdr:y>
    </cdr:from>
    <cdr:to>
      <cdr:x>0.78074</cdr:x>
      <cdr:y>0.35837</cdr:y>
    </cdr:to>
    <cdr:cxnSp macro="">
      <cdr:nvCxnSpPr>
        <cdr:cNvPr id="2" name="直接箭头连接符 1"/>
        <cdr:cNvCxnSpPr/>
      </cdr:nvCxnSpPr>
      <cdr:spPr>
        <a:xfrm xmlns:a="http://schemas.openxmlformats.org/drawingml/2006/main" flipH="1" flipV="1">
          <a:off x="3071004" y="465827"/>
          <a:ext cx="552090" cy="646981"/>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dr:relSizeAnchor xmlns:cdr="http://schemas.openxmlformats.org/drawingml/2006/chartDrawing">
    <cdr:from>
      <cdr:x>0.73427</cdr:x>
      <cdr:y>0.44172</cdr:y>
    </cdr:from>
    <cdr:to>
      <cdr:x>0.7919</cdr:x>
      <cdr:y>0.56951</cdr:y>
    </cdr:to>
    <cdr:cxnSp macro="">
      <cdr:nvCxnSpPr>
        <cdr:cNvPr id="3" name="直接箭头连接符 2"/>
        <cdr:cNvCxnSpPr/>
      </cdr:nvCxnSpPr>
      <cdr:spPr>
        <a:xfrm xmlns:a="http://schemas.openxmlformats.org/drawingml/2006/main" flipH="1">
          <a:off x="3407434" y="1371600"/>
          <a:ext cx="267419" cy="396815"/>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cdr:x>
      <cdr:y>0.07682</cdr:y>
    </cdr:from>
    <cdr:to>
      <cdr:x>1</cdr:x>
      <cdr:y>0.17413</cdr:y>
    </cdr:to>
    <cdr:pic>
      <cdr:nvPicPr>
        <cdr:cNvPr id="4" name="图片 3"/>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238539"/>
          <a:ext cx="4399280" cy="302150"/>
        </a:xfrm>
        <a:prstGeom xmlns:a="http://schemas.openxmlformats.org/drawingml/2006/main" prst="rect">
          <a:avLst/>
        </a:prstGeom>
      </cdr:spPr>
    </cdr:pic>
  </cdr:relSizeAnchor>
  <cdr:relSizeAnchor xmlns:cdr="http://schemas.openxmlformats.org/drawingml/2006/chartDrawing">
    <cdr:from>
      <cdr:x>0</cdr:x>
      <cdr:y>0.56591</cdr:y>
    </cdr:from>
    <cdr:to>
      <cdr:x>1</cdr:x>
      <cdr:y>0.69085</cdr:y>
    </cdr:to>
    <cdr:pic>
      <cdr:nvPicPr>
        <cdr:cNvPr id="5" name="图片 4"/>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0" y="1757238"/>
          <a:ext cx="4399280" cy="387955"/>
        </a:xfrm>
        <a:prstGeom xmlns:a="http://schemas.openxmlformats.org/drawingml/2006/main" prst="rect">
          <a:avLst/>
        </a:prstGeom>
      </cdr:spPr>
    </cdr:pic>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Exts>
</s:customData>
</file>

<file path=customXml/itemProps1.xml><?xml version="1.0" encoding="utf-8"?>
<ds:datastoreItem xmlns:ds="http://schemas.openxmlformats.org/officeDocument/2006/customXml" ds:itemID="{E7EDF3B5-7B3A-41D3-B40B-912C762E08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39</Pages>
  <Words>3885</Words>
  <Characters>22149</Characters>
  <Application>Microsoft Office Word</Application>
  <DocSecurity>0</DocSecurity>
  <Lines>184</Lines>
  <Paragraphs>51</Paragraphs>
  <ScaleCrop>false</ScaleCrop>
  <Company/>
  <LinksUpToDate>false</LinksUpToDate>
  <CharactersWithSpaces>25983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Zhimin</dc:creator>
  <cp:lastModifiedBy>Zhimin</cp:lastModifiedBy>
  <cp:revision>224</cp:revision>
  <cp:lastPrinted>2024-01-23T11:05:00Z</cp:lastPrinted>
  <dcterms:created xsi:type="dcterms:W3CDTF">2024-01-22T02:49:00Z</dcterms:created>
  <dcterms:modified xsi:type="dcterms:W3CDTF">2024-06-21T07:29:00Z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9008C797BA534EC2BA3F6D7B5A397ABC</vt:lpwstr>
  </property>
</Properties>
</file>