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both"/>
        <w:textAlignment w:val="auto"/>
        <w:rPr>
          <w:rFonts w:ascii="Times New Roman" w:hAnsi="Times New Roman" w:eastAsia="黑体" w:cs="Times New Roman"/>
          <w:spacing w:val="4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附件2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/>
        </w:rPr>
        <w:t>-3</w:t>
      </w:r>
      <w:r>
        <w:rPr>
          <w:rFonts w:ascii="Times New Roman" w:hAnsi="Times New Roman" w:eastAsia="黑体" w:cs="Times New Roman"/>
          <w:spacing w:val="40"/>
          <w:kern w:val="2"/>
          <w:sz w:val="32"/>
          <w:szCs w:val="32"/>
          <w:shd w:val="clear" w:color="auto" w:fill="FFFFFF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/>
        </w:rPr>
      </w:pP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广东省智慧公路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试点</w:t>
      </w: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任务表</w:t>
      </w:r>
    </w:p>
    <w:tbl>
      <w:tblPr>
        <w:tblStyle w:val="4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3"/>
        <w:gridCol w:w="673"/>
        <w:gridCol w:w="1340"/>
        <w:gridCol w:w="2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阳春至信宜（粤桂界）高速公路智慧隧道试点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徐新国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申报单位名称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广东阳信高速公路有限公司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参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80" w:lineRule="exact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中铁南方投资集团有限责任公司</w:t>
            </w:r>
          </w:p>
          <w:p>
            <w:pPr>
              <w:widowControl w:val="0"/>
              <w:kinsoku/>
              <w:autoSpaceDE/>
              <w:autoSpaceDN/>
              <w:adjustRightInd/>
              <w:spacing w:line="480" w:lineRule="exact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广东省交通运输规划研究中心</w:t>
            </w:r>
          </w:p>
          <w:p>
            <w:pPr>
              <w:widowControl w:val="0"/>
              <w:kinsoku/>
              <w:autoSpaceDE/>
              <w:autoSpaceDN/>
              <w:adjustRightInd/>
              <w:spacing w:line="480" w:lineRule="exact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中铁二院工程集团有限责任公司</w:t>
            </w:r>
          </w:p>
          <w:p>
            <w:pPr>
              <w:widowControl w:val="0"/>
              <w:kinsoku/>
              <w:autoSpaceDE/>
              <w:autoSpaceDN/>
              <w:adjustRightInd/>
              <w:spacing w:line="480" w:lineRule="exact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华为技术有限公司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项目基本情况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阳春至信宜高速公路是连接广西南宁、玉林等地区重要的出省通道，路线全长约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142km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，双向六车道，设计时速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120km/h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2035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年日均交通流量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6.1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万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pcu/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日，路段货车占比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28.6%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，桥隧占比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50.77%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，全线共设置隧道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座，其中长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特长隧道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应用场景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应用于新建高等级公路隧道及隧道群场景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项目建设起止年月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2023.6-2025.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主要建设方案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通过建设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套精准融合感知系统+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套国产化物联控制系统+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个国产化智慧隧道管理平台+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个国产化智慧隧道应用系统，打造国产化智慧隧道技术体系。</w:t>
            </w:r>
          </w:p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在本项目1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条隧道建设中，通过部署国产化鸿蒙控制器，对隧道内的前端机电设备进行实时状态感知和控制，提升设备巡检效率和安全应急联动效率。</w:t>
            </w:r>
          </w:p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在项目8条长/特长隧道中部署雷视融合感知系统，对交通事件事故进行精准感知，对重点车辆进行隧道内车道级轨迹实时跟踪预警。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拟解决的关键问题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1.实现全域实时跟踪“两客一危”等重点车辆轨迹，车道级精准感知各类事故；结合三维全息构建可视化数字孪生底座，实现隧道交通运行态势、交通事件等动态数据的实时监测与预警。</w:t>
            </w:r>
          </w:p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2.通过内置国产化操作系统的鸿蒙控制器，替代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PLC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方案，打通隧道内多个烟囱式子系统，将传统机电“哑终端”改造为智能终端：支持近场直连、设备自动巡检等智能功能，应急预案“一键下发”与秒级联动处置，智慧管理平台自动匹配应急预案并“一键下发”，秒级联动设备设施进行主动处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预期成果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及形式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借助本项目设计与实施经验，联合多家行业单位，共同编制《广东省高速公路隧道物联网国产化操作系统应用指南》，为省内及全国复制，提供设计及施工参考依据与实际经验。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项目考核指标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widowControl w:val="0"/>
              <w:kinsoku/>
              <w:autoSpaceDE/>
              <w:autoSpaceDN/>
              <w:adjustRightInd/>
              <w:spacing w:line="480" w:lineRule="exact"/>
              <w:ind w:firstLine="480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雷视融合感知对于超速行驶、低速行驶、异常停车、倒车逆行和行人检测事件检测，车道级重点车辆轨迹等达到9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%以上感知准确率。</w:t>
            </w:r>
          </w:p>
          <w:p>
            <w:pPr>
              <w:pStyle w:val="10"/>
              <w:widowControl w:val="0"/>
              <w:kinsoku/>
              <w:autoSpaceDE/>
              <w:autoSpaceDN/>
              <w:adjustRightInd/>
              <w:spacing w:line="480" w:lineRule="exact"/>
              <w:ind w:firstLine="480"/>
              <w:jc w:val="both"/>
              <w:textAlignment w:val="auto"/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机电终端智能化改造相较传统集中式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PLC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控制器，节省线缆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70%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、安装维护工时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60%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，设备巡检效率提升</w:t>
            </w: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2-3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投资估算</w:t>
            </w:r>
          </w:p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widowControl w:val="0"/>
              <w:kinsoku/>
              <w:autoSpaceDE/>
              <w:autoSpaceDN/>
              <w:adjustRightInd/>
              <w:spacing w:line="480" w:lineRule="exact"/>
              <w:ind w:firstLine="480"/>
              <w:jc w:val="both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4846</w:t>
            </w:r>
          </w:p>
        </w:tc>
        <w:tc>
          <w:tcPr>
            <w:tcW w:w="11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eastAsia="微软雅黑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/>
              </w:rPr>
              <w:t>单位自筹</w:t>
            </w:r>
          </w:p>
        </w:tc>
      </w:tr>
    </w:tbl>
    <w:p>
      <w:pPr>
        <w:widowControl w:val="0"/>
        <w:spacing w:line="560" w:lineRule="exact"/>
        <w:jc w:val="both"/>
        <w:rPr>
          <w:rFonts w:ascii="仿宋_GB2312" w:hAnsi="Calibri" w:eastAsia="仿宋_GB2312" w:cs="仿宋_GB2312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96"/>
    <w:rsid w:val="001A7791"/>
    <w:rsid w:val="002932CE"/>
    <w:rsid w:val="004074A8"/>
    <w:rsid w:val="004C0931"/>
    <w:rsid w:val="00540996"/>
    <w:rsid w:val="008B6273"/>
    <w:rsid w:val="00924382"/>
    <w:rsid w:val="009D6D61"/>
    <w:rsid w:val="00C17B68"/>
    <w:rsid w:val="00D42297"/>
    <w:rsid w:val="00DB03AD"/>
    <w:rsid w:val="00E32089"/>
    <w:rsid w:val="33ECE0AB"/>
    <w:rsid w:val="5F9F12E9"/>
    <w:rsid w:val="7DF72D0E"/>
    <w:rsid w:val="D35F814B"/>
    <w:rsid w:val="FD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10"/>
    <w:basedOn w:val="5"/>
    <w:uiPriority w:val="0"/>
    <w:rPr>
      <w:rFonts w:hint="default" w:ascii="Times New Roman" w:hAnsi="Times New Roman" w:cs="Times New Roman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5"/>
    <w:link w:val="2"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 Ltd.</Company>
  <Pages>2</Pages>
  <Words>166</Words>
  <Characters>952</Characters>
  <Lines>7</Lines>
  <Paragraphs>2</Paragraphs>
  <TotalTime>49</TotalTime>
  <ScaleCrop>false</ScaleCrop>
  <LinksUpToDate>false</LinksUpToDate>
  <CharactersWithSpaces>1116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2023-11-25T00:34:00Z</dcterms:created>
  <dc:creator>Administrator</dc:creator>
  <cp:lastModifiedBy>欧智勇</cp:lastModifiedBy>
  <dcterms:modified xsi:type="dcterms:W3CDTF">2023-12-05T11:25:56Z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BE329AF3F7B146409849F7B5F2E5C07F_12</vt:lpwstr>
  </property>
  <property fmtid="{D5CDD505-2E9C-101B-9397-08002B2CF9AE}" pid="4" name="_2015_ms_pID_725343">
    <vt:lpwstr>(2)si8jarbHE5C+V2N9yoQNr2/UGbEzezq8SqBnk3+5/h6vweeClWxYa34y7LgDztrhQumhXJ2L 9CTG9JIVwMxOkSCN+zZmPIPe3d68BpqJjtZzlbEf/lCk0woFga6yNfJ2jeK/cT3BcYv8bOWv z5ReuGfagZeMxAfcNZwIN+g4Wh0u0VdWL4yyiK0v5r96JjcIDrmljtTQNblOsu975tWgKUwJ 7HW9jigN3Ayet40KzT</vt:lpwstr>
  </property>
  <property fmtid="{D5CDD505-2E9C-101B-9397-08002B2CF9AE}" pid="5" name="_2015_ms_pID_7253431">
    <vt:lpwstr>tjVoy1pHeSKmu6QFn1iSYVuQFmMBTXbX+EIf3kTqlqyZSagextf/f8 FG5w6pcyDQjA6ch2yI5TDeYgWd4MczGoAuwCyJLLOTZ608XfRo5crHs0XPUPlX/8byNSuOT3 HRyuqxpTsQgCuycP87KENVBen/nAEMFL3UhNvmHasNy8lPQjSY+DUvZOuagGEAPEDQU=</vt:lpwstr>
  </property>
</Properties>
</file>