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0"/>
        <w:jc w:val="center"/>
        <w:rPr>
          <w:rFonts w:eastAsia="仿宋_GB2312"/>
          <w:kern w:val="0"/>
          <w:sz w:val="40"/>
          <w:szCs w:val="48"/>
        </w:rPr>
      </w:pPr>
      <w:bookmarkStart w:id="0" w:name="_Toc458178247"/>
    </w:p>
    <w:p>
      <w:pPr>
        <w:widowControl/>
        <w:ind w:firstLine="964"/>
        <w:jc w:val="center"/>
        <w:rPr>
          <w:rFonts w:eastAsia="仿宋_GB2312"/>
          <w:b/>
          <w:kern w:val="0"/>
          <w:sz w:val="48"/>
          <w:szCs w:val="48"/>
        </w:rPr>
      </w:pPr>
    </w:p>
    <w:p>
      <w:pPr>
        <w:ind w:firstLine="0" w:firstLineChars="0"/>
        <w:jc w:val="center"/>
        <w:rPr>
          <w:rFonts w:hint="eastAsia" w:ascii="黑体" w:hAnsi="黑体" w:eastAsia="黑体"/>
          <w:b/>
          <w:sz w:val="52"/>
          <w:szCs w:val="52"/>
        </w:rPr>
      </w:pPr>
      <w:r>
        <w:rPr>
          <w:rFonts w:hint="eastAsia" w:ascii="黑体" w:hAnsi="黑体" w:eastAsia="黑体"/>
          <w:b/>
          <w:sz w:val="52"/>
          <w:szCs w:val="52"/>
        </w:rPr>
        <w:t>广东省地方标准</w:t>
      </w:r>
    </w:p>
    <w:p>
      <w:pPr>
        <w:ind w:firstLine="0" w:firstLineChars="0"/>
        <w:jc w:val="center"/>
        <w:rPr>
          <w:rFonts w:hint="default" w:ascii="黑体" w:hAnsi="黑体" w:eastAsia="黑体"/>
          <w:b/>
          <w:sz w:val="52"/>
          <w:szCs w:val="52"/>
          <w:lang w:val="en-US" w:eastAsia="zh-CN"/>
        </w:rPr>
      </w:pPr>
      <w:r>
        <w:rPr>
          <w:rFonts w:hint="eastAsia" w:ascii="黑体" w:hAnsi="黑体" w:eastAsia="黑体"/>
          <w:b/>
          <w:sz w:val="52"/>
          <w:szCs w:val="52"/>
          <w:lang w:eastAsia="zh-CN"/>
        </w:rPr>
        <w:t>《港口企业碳排放核算及报告规范（</w:t>
      </w:r>
      <w:r>
        <w:rPr>
          <w:rFonts w:hint="eastAsia" w:ascii="黑体" w:hAnsi="黑体" w:eastAsia="黑体"/>
          <w:b/>
          <w:sz w:val="52"/>
          <w:szCs w:val="52"/>
          <w:lang w:val="en-US" w:eastAsia="zh-CN"/>
        </w:rPr>
        <w:t>送审稿</w:t>
      </w:r>
      <w:r>
        <w:rPr>
          <w:rFonts w:hint="eastAsia" w:ascii="黑体" w:hAnsi="黑体" w:eastAsia="黑体"/>
          <w:b/>
          <w:sz w:val="52"/>
          <w:szCs w:val="52"/>
          <w:lang w:eastAsia="zh-CN"/>
        </w:rPr>
        <w:t>）》</w:t>
      </w:r>
      <w:r>
        <w:rPr>
          <w:rFonts w:hint="eastAsia" w:ascii="黑体" w:hAnsi="黑体" w:eastAsia="黑体"/>
          <w:b/>
          <w:sz w:val="52"/>
          <w:szCs w:val="52"/>
          <w:lang w:val="en-US" w:eastAsia="zh-CN"/>
        </w:rPr>
        <w:t>编制说明</w:t>
      </w: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kern w:val="0"/>
          <w:sz w:val="48"/>
          <w:szCs w:val="48"/>
        </w:rPr>
      </w:pPr>
    </w:p>
    <w:p>
      <w:pPr>
        <w:widowControl/>
        <w:ind w:firstLine="0" w:firstLineChars="0"/>
        <w:jc w:val="center"/>
        <w:rPr>
          <w:rFonts w:ascii="黑体" w:hAnsi="黑体" w:eastAsia="黑体"/>
          <w:b/>
          <w:bCs/>
          <w:sz w:val="32"/>
          <w:szCs w:val="32"/>
        </w:rPr>
      </w:pPr>
      <w:r>
        <w:rPr>
          <w:rFonts w:hint="eastAsia" w:ascii="黑体" w:hAnsi="黑体" w:eastAsia="黑体"/>
          <w:b/>
          <w:bCs/>
          <w:sz w:val="32"/>
          <w:szCs w:val="32"/>
        </w:rPr>
        <w:t>广东省交通运输规划研究中心</w:t>
      </w:r>
    </w:p>
    <w:p>
      <w:pPr>
        <w:ind w:right="240" w:firstLine="0" w:firstLineChars="0"/>
        <w:jc w:val="center"/>
        <w:rPr>
          <w:rFonts w:ascii="黑体" w:hAnsi="黑体" w:eastAsia="黑体"/>
          <w:b/>
          <w:bCs/>
          <w:sz w:val="30"/>
          <w:szCs w:val="30"/>
        </w:rPr>
      </w:pPr>
      <w:r>
        <w:rPr>
          <w:rFonts w:ascii="黑体" w:hAnsi="黑体" w:eastAsia="黑体"/>
          <w:b/>
          <w:bCs/>
          <w:sz w:val="32"/>
          <w:szCs w:val="32"/>
        </w:rPr>
        <w:t>20</w:t>
      </w:r>
      <w:r>
        <w:rPr>
          <w:rFonts w:hint="eastAsia" w:ascii="黑体" w:hAnsi="黑体" w:eastAsia="黑体"/>
          <w:b/>
          <w:bCs/>
          <w:sz w:val="32"/>
          <w:szCs w:val="32"/>
          <w:lang w:val="en-US" w:eastAsia="zh-CN"/>
        </w:rPr>
        <w:t>23</w:t>
      </w:r>
      <w:r>
        <w:rPr>
          <w:rFonts w:ascii="黑体" w:hAnsi="黑体" w:eastAsia="黑体"/>
          <w:b/>
          <w:bCs/>
          <w:sz w:val="32"/>
          <w:szCs w:val="32"/>
        </w:rPr>
        <w:t>年</w:t>
      </w:r>
      <w:r>
        <w:rPr>
          <w:rFonts w:hint="eastAsia" w:ascii="黑体" w:hAnsi="黑体" w:eastAsia="黑体"/>
          <w:b/>
          <w:bCs/>
          <w:sz w:val="32"/>
          <w:szCs w:val="32"/>
          <w:lang w:val="en-US" w:eastAsia="zh-CN"/>
        </w:rPr>
        <w:t>10</w:t>
      </w:r>
      <w:r>
        <w:rPr>
          <w:rFonts w:ascii="黑体" w:hAnsi="黑体" w:eastAsia="黑体"/>
          <w:b/>
          <w:bCs/>
          <w:sz w:val="32"/>
          <w:szCs w:val="32"/>
        </w:rPr>
        <w:t>月</w:t>
      </w:r>
    </w:p>
    <w:p>
      <w:pPr>
        <w:ind w:right="240" w:firstLine="602"/>
        <w:jc w:val="center"/>
        <w:rPr>
          <w:b/>
          <w:bCs/>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81" w:charSpace="0"/>
        </w:sectPr>
      </w:pPr>
    </w:p>
    <w:p>
      <w:pPr>
        <w:ind w:firstLine="0" w:firstLineChars="0"/>
        <w:jc w:val="center"/>
        <w:rPr>
          <w:rFonts w:ascii="黑体" w:hAnsi="黑体" w:eastAsia="黑体"/>
          <w:b/>
          <w:spacing w:val="-12"/>
          <w:sz w:val="36"/>
          <w:szCs w:val="36"/>
        </w:rPr>
      </w:pPr>
    </w:p>
    <w:p>
      <w:pPr>
        <w:pStyle w:val="2"/>
      </w:pPr>
      <w:bookmarkStart w:id="1" w:name="_Toc13181"/>
      <w:bookmarkStart w:id="2" w:name="_Toc8983"/>
      <w:bookmarkStart w:id="3" w:name="_Toc7609"/>
      <w:bookmarkStart w:id="4" w:name="_Toc20724"/>
      <w:bookmarkStart w:id="5" w:name="_Toc21548"/>
      <w:r>
        <w:rPr>
          <w:rFonts w:hint="eastAsia"/>
        </w:rPr>
        <w:t>目  录</w:t>
      </w:r>
      <w:bookmarkEnd w:id="1"/>
      <w:bookmarkEnd w:id="2"/>
      <w:bookmarkEnd w:id="3"/>
      <w:bookmarkEnd w:id="4"/>
      <w:bookmarkEnd w:id="5"/>
    </w:p>
    <w:p>
      <w:pPr>
        <w:pStyle w:val="2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TOC \o "1-2" \h \z \u \t "标题 3,3" </w:instrText>
      </w:r>
      <w:r>
        <w:fldChar w:fldCharType="separate"/>
      </w:r>
      <w:r>
        <w:fldChar w:fldCharType="begin"/>
      </w:r>
      <w:r>
        <w:instrText xml:space="preserve"> HYPERLINK \l _Toc20724 </w:instrText>
      </w:r>
      <w:r>
        <w:fldChar w:fldCharType="separate"/>
      </w:r>
      <w:r>
        <w:rPr>
          <w:rFonts w:hint="eastAsia"/>
        </w:rPr>
        <w:t>目  录</w:t>
      </w:r>
      <w:r>
        <w:tab/>
      </w:r>
      <w:r>
        <w:fldChar w:fldCharType="begin"/>
      </w:r>
      <w:r>
        <w:instrText xml:space="preserve"> PAGEREF _Toc20724 \h </w:instrText>
      </w:r>
      <w:r>
        <w:fldChar w:fldCharType="separate"/>
      </w:r>
      <w:r>
        <w:t>I</w:t>
      </w:r>
      <w:r>
        <w:fldChar w:fldCharType="end"/>
      </w:r>
      <w: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_Toc14014 </w:instrText>
      </w:r>
      <w:r>
        <w:fldChar w:fldCharType="separate"/>
      </w:r>
      <w:r>
        <w:rPr>
          <w:rFonts w:hint="eastAsia"/>
        </w:rPr>
        <w:t xml:space="preserve">第1章  </w:t>
      </w:r>
      <w:r>
        <w:rPr>
          <w:rFonts w:hint="eastAsia"/>
          <w:lang w:val="en-US" w:eastAsia="zh-CN"/>
        </w:rPr>
        <w:t>标准制定的背景和必要性</w:t>
      </w:r>
      <w:r>
        <w:tab/>
      </w:r>
      <w:r>
        <w:fldChar w:fldCharType="begin"/>
      </w:r>
      <w:r>
        <w:instrText xml:space="preserve"> PAGEREF _Toc14014 \h </w:instrText>
      </w:r>
      <w:r>
        <w:fldChar w:fldCharType="separate"/>
      </w:r>
      <w:r>
        <w:t>1</w:t>
      </w:r>
      <w:r>
        <w:fldChar w:fldCharType="end"/>
      </w:r>
      <w:r>
        <w:fldChar w:fldCharType="end"/>
      </w:r>
    </w:p>
    <w:p>
      <w:pPr>
        <w:pStyle w:val="3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_Toc28015 </w:instrText>
      </w:r>
      <w:r>
        <w:fldChar w:fldCharType="separate"/>
      </w:r>
      <w:r>
        <w:rPr>
          <w:rFonts w:hint="eastAsia"/>
        </w:rPr>
        <w:t xml:space="preserve">1.1 </w:t>
      </w:r>
      <w:r>
        <w:rPr>
          <w:rFonts w:hint="eastAsia"/>
          <w:lang w:eastAsia="zh-CN"/>
        </w:rPr>
        <w:t>背景</w:t>
      </w:r>
      <w:r>
        <w:tab/>
      </w:r>
      <w:r>
        <w:fldChar w:fldCharType="begin"/>
      </w:r>
      <w:r>
        <w:instrText xml:space="preserve"> PAGEREF _Toc28015 \h </w:instrText>
      </w:r>
      <w:r>
        <w:fldChar w:fldCharType="separate"/>
      </w:r>
      <w:r>
        <w:t>1</w:t>
      </w:r>
      <w:r>
        <w:fldChar w:fldCharType="end"/>
      </w:r>
      <w:r>
        <w:fldChar w:fldCharType="end"/>
      </w:r>
    </w:p>
    <w:p>
      <w:pPr>
        <w:pStyle w:val="3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_Toc32157 </w:instrText>
      </w:r>
      <w:r>
        <w:fldChar w:fldCharType="separate"/>
      </w:r>
      <w:r>
        <w:rPr>
          <w:rFonts w:hint="eastAsia"/>
        </w:rPr>
        <w:t xml:space="preserve">1.2 </w:t>
      </w:r>
      <w:r>
        <w:rPr>
          <w:rFonts w:hint="eastAsia"/>
          <w:lang w:val="en-US" w:eastAsia="zh-CN"/>
        </w:rPr>
        <w:t>必要性</w:t>
      </w:r>
      <w:r>
        <w:tab/>
      </w:r>
      <w:r>
        <w:fldChar w:fldCharType="begin"/>
      </w:r>
      <w:r>
        <w:instrText xml:space="preserve"> PAGEREF _Toc32157 \h </w:instrText>
      </w:r>
      <w:r>
        <w:fldChar w:fldCharType="separate"/>
      </w:r>
      <w:r>
        <w:t>4</w:t>
      </w:r>
      <w:r>
        <w:fldChar w:fldCharType="end"/>
      </w:r>
      <w: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_Toc11014 </w:instrText>
      </w:r>
      <w:r>
        <w:fldChar w:fldCharType="separate"/>
      </w:r>
      <w:r>
        <w:rPr>
          <w:rFonts w:hint="eastAsia"/>
        </w:rPr>
        <w:t>第</w:t>
      </w:r>
      <w:r>
        <w:rPr>
          <w:rFonts w:hint="eastAsia"/>
          <w:lang w:val="en-US" w:eastAsia="zh-CN"/>
        </w:rPr>
        <w:t>2</w:t>
      </w:r>
      <w:r>
        <w:rPr>
          <w:rFonts w:hint="eastAsia"/>
        </w:rPr>
        <w:t xml:space="preserve">章  </w:t>
      </w:r>
      <w:r>
        <w:rPr>
          <w:rFonts w:hint="eastAsia"/>
          <w:lang w:val="en-US" w:eastAsia="zh-CN"/>
        </w:rPr>
        <w:t>原则和编制依据</w:t>
      </w:r>
      <w:r>
        <w:tab/>
      </w:r>
      <w:r>
        <w:fldChar w:fldCharType="begin"/>
      </w:r>
      <w:r>
        <w:instrText xml:space="preserve"> PAGEREF _Toc11014 \h </w:instrText>
      </w:r>
      <w:r>
        <w:fldChar w:fldCharType="separate"/>
      </w:r>
      <w:r>
        <w:t>5</w:t>
      </w:r>
      <w:r>
        <w:fldChar w:fldCharType="end"/>
      </w:r>
      <w:r>
        <w:fldChar w:fldCharType="end"/>
      </w:r>
    </w:p>
    <w:p>
      <w:pPr>
        <w:pStyle w:val="3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_Toc22753 </w:instrText>
      </w:r>
      <w:r>
        <w:fldChar w:fldCharType="separate"/>
      </w:r>
      <w:r>
        <w:rPr>
          <w:rFonts w:hint="eastAsia"/>
          <w:lang w:val="en-US" w:eastAsia="zh-CN"/>
        </w:rPr>
        <w:t>2</w:t>
      </w:r>
      <w:r>
        <w:rPr>
          <w:rFonts w:hint="eastAsia"/>
        </w:rPr>
        <w:t xml:space="preserve">.1 </w:t>
      </w:r>
      <w:r>
        <w:rPr>
          <w:rFonts w:hint="eastAsia"/>
          <w:lang w:eastAsia="zh-CN"/>
        </w:rPr>
        <w:t>遵循原则</w:t>
      </w:r>
      <w:r>
        <w:tab/>
      </w:r>
      <w:r>
        <w:fldChar w:fldCharType="begin"/>
      </w:r>
      <w:r>
        <w:instrText xml:space="preserve"> PAGEREF _Toc22753 \h </w:instrText>
      </w:r>
      <w:r>
        <w:fldChar w:fldCharType="separate"/>
      </w:r>
      <w:r>
        <w:t>5</w:t>
      </w:r>
      <w:r>
        <w:fldChar w:fldCharType="end"/>
      </w:r>
      <w:r>
        <w:fldChar w:fldCharType="end"/>
      </w:r>
    </w:p>
    <w:p>
      <w:pPr>
        <w:pStyle w:val="3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_Toc32061 </w:instrText>
      </w:r>
      <w:r>
        <w:fldChar w:fldCharType="separate"/>
      </w:r>
      <w:r>
        <w:rPr>
          <w:rFonts w:hint="eastAsia"/>
          <w:lang w:val="en-US" w:eastAsia="zh-CN"/>
        </w:rPr>
        <w:t>2</w:t>
      </w:r>
      <w:r>
        <w:rPr>
          <w:rFonts w:hint="eastAsia"/>
        </w:rPr>
        <w:t xml:space="preserve">.1 </w:t>
      </w:r>
      <w:r>
        <w:rPr>
          <w:rFonts w:hint="eastAsia"/>
          <w:lang w:eastAsia="zh-CN"/>
        </w:rPr>
        <w:t>编制依据</w:t>
      </w:r>
      <w:r>
        <w:tab/>
      </w:r>
      <w:r>
        <w:fldChar w:fldCharType="begin"/>
      </w:r>
      <w:r>
        <w:instrText xml:space="preserve"> PAGEREF _Toc32061 \h </w:instrText>
      </w:r>
      <w:r>
        <w:fldChar w:fldCharType="separate"/>
      </w:r>
      <w:r>
        <w:t>5</w:t>
      </w:r>
      <w:r>
        <w:fldChar w:fldCharType="end"/>
      </w:r>
      <w: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_Toc21969 </w:instrText>
      </w:r>
      <w:r>
        <w:fldChar w:fldCharType="separate"/>
      </w:r>
      <w:r>
        <w:rPr>
          <w:rFonts w:hint="eastAsia"/>
        </w:rPr>
        <w:t>第</w:t>
      </w:r>
      <w:r>
        <w:rPr>
          <w:rFonts w:hint="eastAsia"/>
          <w:lang w:val="en-US" w:eastAsia="zh-CN"/>
        </w:rPr>
        <w:t>3</w:t>
      </w:r>
      <w:r>
        <w:rPr>
          <w:rFonts w:hint="eastAsia"/>
        </w:rPr>
        <w:t xml:space="preserve">章  </w:t>
      </w:r>
      <w:r>
        <w:rPr>
          <w:rFonts w:hint="eastAsia"/>
          <w:lang w:eastAsia="zh-CN"/>
        </w:rPr>
        <w:t>与现行相关标准的异同</w:t>
      </w:r>
      <w:r>
        <w:tab/>
      </w:r>
      <w:r>
        <w:fldChar w:fldCharType="begin"/>
      </w:r>
      <w:r>
        <w:instrText xml:space="preserve"> PAGEREF _Toc21969 \h </w:instrText>
      </w:r>
      <w:r>
        <w:fldChar w:fldCharType="separate"/>
      </w:r>
      <w:r>
        <w:t>6</w:t>
      </w:r>
      <w:r>
        <w:fldChar w:fldCharType="end"/>
      </w:r>
      <w:r>
        <w:fldChar w:fldCharType="end"/>
      </w:r>
    </w:p>
    <w:p>
      <w:pPr>
        <w:pStyle w:val="3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_Toc19658 </w:instrText>
      </w:r>
      <w:r>
        <w:fldChar w:fldCharType="separate"/>
      </w:r>
      <w:r>
        <w:rPr>
          <w:rFonts w:hint="eastAsia"/>
          <w:lang w:val="en-US" w:eastAsia="zh-CN"/>
        </w:rPr>
        <w:t>3</w:t>
      </w:r>
      <w:r>
        <w:rPr>
          <w:rFonts w:hint="eastAsia"/>
        </w:rPr>
        <w:t>.</w:t>
      </w:r>
      <w:r>
        <w:rPr>
          <w:rFonts w:hint="eastAsia"/>
          <w:lang w:val="en-US" w:eastAsia="zh-CN"/>
        </w:rPr>
        <w:t>1</w:t>
      </w:r>
      <w:r>
        <w:rPr>
          <w:rFonts w:hint="eastAsia"/>
        </w:rPr>
        <w:t xml:space="preserve"> 国内外情况说明</w:t>
      </w:r>
      <w:r>
        <w:tab/>
      </w:r>
      <w:r>
        <w:fldChar w:fldCharType="begin"/>
      </w:r>
      <w:r>
        <w:instrText xml:space="preserve"> PAGEREF _Toc19658 \h </w:instrText>
      </w:r>
      <w:r>
        <w:fldChar w:fldCharType="separate"/>
      </w:r>
      <w:r>
        <w:t>6</w:t>
      </w:r>
      <w:r>
        <w:fldChar w:fldCharType="end"/>
      </w:r>
      <w:r>
        <w:fldChar w:fldCharType="end"/>
      </w:r>
    </w:p>
    <w:p>
      <w:pPr>
        <w:pStyle w:val="3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_Toc12462 </w:instrText>
      </w:r>
      <w:r>
        <w:fldChar w:fldCharType="separate"/>
      </w:r>
      <w:r>
        <w:rPr>
          <w:rFonts w:hint="eastAsia"/>
          <w:lang w:val="en-US" w:eastAsia="zh-CN"/>
        </w:rPr>
        <w:t>3</w:t>
      </w:r>
      <w:r>
        <w:rPr>
          <w:rFonts w:hint="eastAsia"/>
        </w:rPr>
        <w:t>.</w:t>
      </w:r>
      <w:r>
        <w:rPr>
          <w:rFonts w:hint="eastAsia"/>
          <w:lang w:val="en-US" w:eastAsia="zh-CN"/>
        </w:rPr>
        <w:t>2</w:t>
      </w:r>
      <w:r>
        <w:rPr>
          <w:rFonts w:hint="eastAsia"/>
        </w:rPr>
        <w:t xml:space="preserve"> </w:t>
      </w:r>
      <w:r>
        <w:rPr>
          <w:rFonts w:hint="eastAsia"/>
          <w:lang w:eastAsia="zh-CN"/>
        </w:rPr>
        <w:t>本规范补充完善的内容</w:t>
      </w:r>
      <w:r>
        <w:tab/>
      </w:r>
      <w:r>
        <w:fldChar w:fldCharType="begin"/>
      </w:r>
      <w:r>
        <w:instrText xml:space="preserve"> PAGEREF _Toc12462 \h </w:instrText>
      </w:r>
      <w:r>
        <w:fldChar w:fldCharType="separate"/>
      </w:r>
      <w:r>
        <w:t>9</w:t>
      </w:r>
      <w:r>
        <w:fldChar w:fldCharType="end"/>
      </w:r>
      <w:r>
        <w:fldChar w:fldCharType="end"/>
      </w:r>
    </w:p>
    <w:p>
      <w:pPr>
        <w:pStyle w:val="3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_Toc2505 </w:instrText>
      </w:r>
      <w:r>
        <w:fldChar w:fldCharType="separate"/>
      </w:r>
      <w:r>
        <w:rPr>
          <w:rFonts w:hint="eastAsia"/>
          <w:lang w:val="en-US" w:eastAsia="zh-CN"/>
        </w:rPr>
        <w:t>3</w:t>
      </w:r>
      <w:r>
        <w:rPr>
          <w:rFonts w:hint="eastAsia"/>
        </w:rPr>
        <w:t>.</w:t>
      </w:r>
      <w:r>
        <w:rPr>
          <w:rFonts w:hint="eastAsia"/>
          <w:lang w:val="en-US" w:eastAsia="zh-CN"/>
        </w:rPr>
        <w:t xml:space="preserve">3 </w:t>
      </w:r>
      <w:r>
        <w:rPr>
          <w:rFonts w:hint="eastAsia"/>
          <w:lang w:eastAsia="zh-CN"/>
        </w:rPr>
        <w:t>本规范实用价值</w:t>
      </w:r>
      <w:r>
        <w:tab/>
      </w:r>
      <w:r>
        <w:fldChar w:fldCharType="begin"/>
      </w:r>
      <w:r>
        <w:instrText xml:space="preserve"> PAGEREF _Toc2505 \h </w:instrText>
      </w:r>
      <w:r>
        <w:fldChar w:fldCharType="separate"/>
      </w:r>
      <w:r>
        <w:t>10</w:t>
      </w:r>
      <w:r>
        <w:fldChar w:fldCharType="end"/>
      </w:r>
      <w: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_Toc4757 </w:instrText>
      </w:r>
      <w:r>
        <w:fldChar w:fldCharType="separate"/>
      </w:r>
      <w:r>
        <w:rPr>
          <w:rFonts w:hint="eastAsia"/>
        </w:rPr>
        <w:t>第</w:t>
      </w:r>
      <w:r>
        <w:rPr>
          <w:rFonts w:hint="eastAsia"/>
          <w:lang w:val="en-US" w:eastAsia="zh-CN"/>
        </w:rPr>
        <w:t>4</w:t>
      </w:r>
      <w:r>
        <w:rPr>
          <w:rFonts w:hint="eastAsia"/>
        </w:rPr>
        <w:t xml:space="preserve">章  </w:t>
      </w:r>
      <w:r>
        <w:rPr>
          <w:rFonts w:hint="eastAsia"/>
          <w:lang w:val="en-US" w:eastAsia="zh-CN"/>
        </w:rPr>
        <w:t>标准编制过程</w:t>
      </w:r>
      <w:r>
        <w:tab/>
      </w:r>
      <w:r>
        <w:fldChar w:fldCharType="begin"/>
      </w:r>
      <w:r>
        <w:instrText xml:space="preserve"> PAGEREF _Toc4757 \h </w:instrText>
      </w:r>
      <w:r>
        <w:fldChar w:fldCharType="separate"/>
      </w:r>
      <w:r>
        <w:t>12</w:t>
      </w:r>
      <w:r>
        <w:fldChar w:fldCharType="end"/>
      </w:r>
      <w:r>
        <w:fldChar w:fldCharType="end"/>
      </w:r>
    </w:p>
    <w:p>
      <w:pPr>
        <w:pStyle w:val="3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_Toc5256 </w:instrText>
      </w:r>
      <w:r>
        <w:fldChar w:fldCharType="separate"/>
      </w:r>
      <w:r>
        <w:rPr>
          <w:rFonts w:hint="eastAsia"/>
          <w:lang w:val="en-US" w:eastAsia="zh-CN"/>
        </w:rPr>
        <w:t>4</w:t>
      </w:r>
      <w:r>
        <w:rPr>
          <w:rFonts w:hint="eastAsia"/>
        </w:rPr>
        <w:t>.</w:t>
      </w:r>
      <w:r>
        <w:rPr>
          <w:rFonts w:hint="eastAsia"/>
          <w:lang w:val="en-US" w:eastAsia="zh-CN"/>
        </w:rPr>
        <w:t>1</w:t>
      </w:r>
      <w:r>
        <w:rPr>
          <w:rFonts w:hint="eastAsia"/>
        </w:rPr>
        <w:t xml:space="preserve"> 标准文稿的编制情况</w:t>
      </w:r>
      <w:r>
        <w:tab/>
      </w:r>
      <w:r>
        <w:fldChar w:fldCharType="begin"/>
      </w:r>
      <w:r>
        <w:instrText xml:space="preserve"> PAGEREF _Toc5256 \h </w:instrText>
      </w:r>
      <w:r>
        <w:fldChar w:fldCharType="separate"/>
      </w:r>
      <w:r>
        <w:t>12</w:t>
      </w:r>
      <w:r>
        <w:fldChar w:fldCharType="end"/>
      </w:r>
      <w:r>
        <w:fldChar w:fldCharType="end"/>
      </w:r>
    </w:p>
    <w:p>
      <w:pPr>
        <w:pStyle w:val="3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_Toc28576 </w:instrText>
      </w:r>
      <w:r>
        <w:fldChar w:fldCharType="separate"/>
      </w:r>
      <w:r>
        <w:rPr>
          <w:rFonts w:hint="eastAsia"/>
          <w:lang w:val="en-US" w:eastAsia="zh-CN"/>
        </w:rPr>
        <w:t>4</w:t>
      </w:r>
      <w:r>
        <w:rPr>
          <w:rFonts w:hint="eastAsia"/>
        </w:rPr>
        <w:t>.</w:t>
      </w:r>
      <w:r>
        <w:rPr>
          <w:rFonts w:hint="eastAsia"/>
          <w:lang w:val="en-US" w:eastAsia="zh-CN"/>
        </w:rPr>
        <w:t>2</w:t>
      </w:r>
      <w:r>
        <w:rPr>
          <w:rFonts w:hint="eastAsia"/>
        </w:rPr>
        <w:t xml:space="preserve"> 标准文稿</w:t>
      </w:r>
      <w:r>
        <w:rPr>
          <w:rFonts w:hint="eastAsia"/>
          <w:lang w:val="en-US" w:eastAsia="zh-CN"/>
        </w:rPr>
        <w:t>征求意见</w:t>
      </w:r>
      <w:r>
        <w:rPr>
          <w:rFonts w:hint="eastAsia"/>
        </w:rPr>
        <w:t>情况</w:t>
      </w:r>
      <w:r>
        <w:tab/>
      </w:r>
      <w:r>
        <w:fldChar w:fldCharType="begin"/>
      </w:r>
      <w:r>
        <w:instrText xml:space="preserve"> PAGEREF _Toc28576 \h </w:instrText>
      </w:r>
      <w:r>
        <w:fldChar w:fldCharType="separate"/>
      </w:r>
      <w:r>
        <w:t>13</w:t>
      </w:r>
      <w:r>
        <w:fldChar w:fldCharType="end"/>
      </w:r>
      <w:r>
        <w:fldChar w:fldCharType="end"/>
      </w:r>
    </w:p>
    <w:p>
      <w:pPr>
        <w:pStyle w:val="3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_Toc22961 </w:instrText>
      </w:r>
      <w:r>
        <w:fldChar w:fldCharType="separate"/>
      </w:r>
      <w:r>
        <w:rPr>
          <w:rFonts w:hint="eastAsia"/>
          <w:lang w:val="en-US" w:eastAsia="zh-CN"/>
        </w:rPr>
        <w:t>4</w:t>
      </w:r>
      <w:r>
        <w:rPr>
          <w:rFonts w:hint="eastAsia"/>
        </w:rPr>
        <w:t>.</w:t>
      </w:r>
      <w:r>
        <w:rPr>
          <w:rFonts w:hint="eastAsia"/>
          <w:lang w:val="en-US" w:eastAsia="zh-CN"/>
        </w:rPr>
        <w:t>3</w:t>
      </w:r>
      <w:r>
        <w:rPr>
          <w:rFonts w:hint="eastAsia"/>
        </w:rPr>
        <w:t xml:space="preserve"> 计划与安排</w:t>
      </w:r>
      <w:r>
        <w:tab/>
      </w:r>
      <w:r>
        <w:fldChar w:fldCharType="begin"/>
      </w:r>
      <w:r>
        <w:instrText xml:space="preserve"> PAGEREF _Toc22961 \h </w:instrText>
      </w:r>
      <w:r>
        <w:fldChar w:fldCharType="separate"/>
      </w:r>
      <w:r>
        <w:t>15</w:t>
      </w:r>
      <w:r>
        <w:fldChar w:fldCharType="end"/>
      </w:r>
      <w:r>
        <w:fldChar w:fldCharType="end"/>
      </w:r>
    </w:p>
    <w:p>
      <w:pPr>
        <w:pStyle w:val="2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fldChar w:fldCharType="begin"/>
      </w:r>
      <w:r>
        <w:instrText xml:space="preserve"> HYPERLINK \l _Toc3806 </w:instrText>
      </w:r>
      <w:r>
        <w:fldChar w:fldCharType="separate"/>
      </w:r>
      <w:r>
        <w:rPr>
          <w:rFonts w:hint="eastAsia"/>
          <w:lang w:eastAsia="zh-CN"/>
        </w:rPr>
        <w:t>第</w:t>
      </w:r>
      <w:r>
        <w:rPr>
          <w:rFonts w:hint="eastAsia"/>
          <w:lang w:val="en-US" w:eastAsia="zh-CN"/>
        </w:rPr>
        <w:t>5</w:t>
      </w:r>
      <w:r>
        <w:rPr>
          <w:rFonts w:hint="eastAsia"/>
          <w:lang w:eastAsia="zh-CN"/>
        </w:rPr>
        <w:t>章</w:t>
      </w:r>
      <w:r>
        <w:rPr>
          <w:rFonts w:hint="eastAsia"/>
          <w:lang w:val="en-US" w:eastAsia="zh-CN"/>
        </w:rPr>
        <w:t xml:space="preserve"> 标准的主要内容说明</w:t>
      </w:r>
      <w:r>
        <w:tab/>
      </w:r>
      <w:r>
        <w:fldChar w:fldCharType="begin"/>
      </w:r>
      <w:r>
        <w:instrText xml:space="preserve"> PAGEREF _Toc3806 \h </w:instrText>
      </w:r>
      <w:r>
        <w:fldChar w:fldCharType="separate"/>
      </w:r>
      <w:r>
        <w:t>16</w:t>
      </w:r>
      <w:r>
        <w:fldChar w:fldCharType="end"/>
      </w:r>
      <w:r>
        <w:fldChar w:fldCharType="end"/>
      </w:r>
    </w:p>
    <w:p>
      <w:pPr>
        <w:pStyle w:val="31"/>
        <w:keepNext w:val="0"/>
        <w:keepLines w:val="0"/>
        <w:pageBreakBefore w:val="0"/>
        <w:widowControl w:val="0"/>
        <w:tabs>
          <w:tab w:val="right" w:pos="3200"/>
          <w:tab w:val="right" w:leader="dot" w:pos="8306"/>
        </w:tabs>
        <w:kinsoku/>
        <w:wordWrap/>
        <w:overflowPunct/>
        <w:topLinePunct w:val="0"/>
        <w:autoSpaceDE/>
        <w:autoSpaceDN/>
        <w:bidi w:val="0"/>
        <w:adjustRightInd/>
        <w:snapToGrid/>
        <w:ind w:left="0" w:leftChars="0" w:firstLine="0" w:firstLineChars="0"/>
        <w:textAlignment w:val="auto"/>
      </w:pPr>
      <w:r>
        <w:fldChar w:fldCharType="begin"/>
      </w:r>
      <w:r>
        <w:instrText xml:space="preserve"> HYPERLINK \l _Toc18455 </w:instrText>
      </w:r>
      <w:r>
        <w:fldChar w:fldCharType="separate"/>
      </w:r>
      <w:r>
        <w:rPr>
          <w:rFonts w:hint="eastAsia"/>
          <w:szCs w:val="22"/>
        </w:rPr>
        <w:t>附录A</w:t>
      </w:r>
      <w:r>
        <w:rPr>
          <w:rFonts w:hint="eastAsia"/>
          <w:szCs w:val="22"/>
          <w:lang w:eastAsia="zh-CN"/>
        </w:rPr>
        <w:t>　</w:t>
      </w:r>
      <w:r>
        <w:rPr>
          <w:rFonts w:hint="eastAsia"/>
          <w:szCs w:val="22"/>
        </w:rPr>
        <w:t>（资料性）</w:t>
      </w:r>
      <w:r>
        <w:rPr>
          <w:rFonts w:hint="eastAsia"/>
          <w:szCs w:val="22"/>
          <w:lang w:eastAsia="zh-CN"/>
        </w:rPr>
        <w:t>　</w:t>
      </w:r>
      <w:r>
        <w:rPr>
          <w:rFonts w:hint="default" w:ascii="Times New Roman" w:hAnsi="Times New Roman" w:cs="Times New Roman"/>
          <w:highlight w:val="none"/>
          <w:lang w:val="en-US" w:eastAsia="zh-CN"/>
        </w:rPr>
        <w:t>直接排放与间接排放的排放因子参考值</w:t>
      </w:r>
      <w:r>
        <w:rPr>
          <w:szCs w:val="22"/>
        </w:rPr>
        <w:tab/>
      </w:r>
      <w:r>
        <w:fldChar w:fldCharType="begin"/>
      </w:r>
      <w:r>
        <w:instrText xml:space="preserve"> PAGEREF _Toc18455 \h </w:instrText>
      </w:r>
      <w:r>
        <w:fldChar w:fldCharType="separate"/>
      </w:r>
      <w:r>
        <w:t>16</w:t>
      </w:r>
      <w:r>
        <w:fldChar w:fldCharType="end"/>
      </w:r>
      <w:r>
        <w:fldChar w:fldCharType="end"/>
      </w:r>
    </w:p>
    <w:p>
      <w:pPr>
        <w:pStyle w:val="31"/>
        <w:keepNext w:val="0"/>
        <w:keepLines w:val="0"/>
        <w:pageBreakBefore w:val="0"/>
        <w:widowControl w:val="0"/>
        <w:tabs>
          <w:tab w:val="right" w:leader="dot" w:pos="8306"/>
          <w:tab w:val="right" w:pos="9600"/>
        </w:tabs>
        <w:kinsoku/>
        <w:wordWrap/>
        <w:overflowPunct/>
        <w:topLinePunct w:val="0"/>
        <w:autoSpaceDE/>
        <w:autoSpaceDN/>
        <w:bidi w:val="0"/>
        <w:adjustRightInd/>
        <w:snapToGrid/>
        <w:ind w:left="0" w:leftChars="0" w:firstLine="0" w:firstLineChars="0"/>
        <w:textAlignment w:val="auto"/>
      </w:pPr>
      <w:r>
        <w:fldChar w:fldCharType="begin"/>
      </w:r>
      <w:r>
        <w:instrText xml:space="preserve"> HYPERLINK \l _Toc2196 </w:instrText>
      </w:r>
      <w:r>
        <w:fldChar w:fldCharType="separate"/>
      </w:r>
      <w:r>
        <w:rPr>
          <w:rFonts w:hint="eastAsia"/>
          <w:szCs w:val="22"/>
        </w:rPr>
        <w:t>附录B</w:t>
      </w:r>
      <w:r>
        <w:rPr>
          <w:rFonts w:hint="eastAsia"/>
          <w:szCs w:val="22"/>
          <w:lang w:eastAsia="zh-CN"/>
        </w:rPr>
        <w:t>　</w:t>
      </w:r>
      <w:r>
        <w:rPr>
          <w:rFonts w:hint="eastAsia"/>
          <w:szCs w:val="22"/>
        </w:rPr>
        <w:t>（资料性）</w:t>
      </w:r>
      <w:r>
        <w:rPr>
          <w:rFonts w:hint="eastAsia"/>
          <w:szCs w:val="22"/>
          <w:lang w:eastAsia="zh-CN"/>
        </w:rPr>
        <w:t>　</w:t>
      </w:r>
      <w:r>
        <w:rPr>
          <w:rFonts w:hint="eastAsia" w:cs="宋体"/>
          <w:kern w:val="0"/>
        </w:rPr>
        <w:t>港口企业</w:t>
      </w:r>
      <w:r>
        <w:rPr>
          <w:rFonts w:hint="eastAsia" w:cs="宋体"/>
          <w:kern w:val="0"/>
          <w:lang w:val="en-US" w:eastAsia="zh-CN"/>
        </w:rPr>
        <w:t>二氧化碳</w:t>
      </w:r>
      <w:r>
        <w:rPr>
          <w:rFonts w:hint="eastAsia" w:cs="宋体"/>
          <w:kern w:val="0"/>
        </w:rPr>
        <w:t>排放报告</w:t>
      </w:r>
      <w:r>
        <w:rPr>
          <w:szCs w:val="22"/>
        </w:rPr>
        <w:tab/>
      </w:r>
      <w:r>
        <w:fldChar w:fldCharType="begin"/>
      </w:r>
      <w:r>
        <w:instrText xml:space="preserve"> PAGEREF _Toc2196 \h </w:instrText>
      </w:r>
      <w:r>
        <w:fldChar w:fldCharType="separate"/>
      </w:r>
      <w:r>
        <w:t>16</w:t>
      </w:r>
      <w:r>
        <w:fldChar w:fldCharType="end"/>
      </w:r>
      <w:r>
        <w:fldChar w:fldCharType="end"/>
      </w:r>
    </w:p>
    <w:p>
      <w:pPr>
        <w:ind w:right="240" w:firstLine="0" w:firstLineChars="0"/>
        <w:jc w:val="center"/>
        <w:sectPr>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fldChar w:fldCharType="end"/>
      </w:r>
    </w:p>
    <w:bookmarkEnd w:id="0"/>
    <w:p>
      <w:pPr>
        <w:pStyle w:val="2"/>
      </w:pPr>
      <w:bookmarkStart w:id="6" w:name="_Toc14014"/>
      <w:r>
        <w:rPr>
          <w:rFonts w:hint="eastAsia"/>
        </w:rPr>
        <w:t xml:space="preserve">第1章  </w:t>
      </w:r>
      <w:r>
        <w:rPr>
          <w:rFonts w:hint="eastAsia"/>
          <w:lang w:val="en-US" w:eastAsia="zh-CN"/>
        </w:rPr>
        <w:t>标准制定的背景和必要性</w:t>
      </w:r>
      <w:bookmarkEnd w:id="6"/>
    </w:p>
    <w:p>
      <w:pPr>
        <w:pStyle w:val="3"/>
      </w:pPr>
      <w:bookmarkStart w:id="7" w:name="_Toc28015"/>
      <w:r>
        <w:rPr>
          <w:rFonts w:hint="eastAsia"/>
        </w:rPr>
        <w:t xml:space="preserve">1.1 </w:t>
      </w:r>
      <w:r>
        <w:rPr>
          <w:rFonts w:hint="eastAsia"/>
          <w:lang w:eastAsia="zh-CN"/>
        </w:rPr>
        <w:t>背景</w:t>
      </w:r>
      <w:bookmarkEnd w:id="7"/>
    </w:p>
    <w:p>
      <w:pPr>
        <w:ind w:firstLine="560"/>
        <w:rPr>
          <w:rFonts w:hint="default"/>
          <w:lang w:val="en-US" w:eastAsia="zh-CN"/>
        </w:rPr>
      </w:pPr>
      <w:r>
        <w:rPr>
          <w:rFonts w:hint="eastAsia"/>
          <w:lang w:eastAsia="zh-CN"/>
        </w:rPr>
        <w:t>在应对气候变化问题上，我国向国际社会做出了重要承诺。我国政府在2009年1</w:t>
      </w:r>
      <w:r>
        <w:rPr>
          <w:rFonts w:hint="eastAsia"/>
          <w:lang w:val="en-US" w:eastAsia="zh-CN"/>
        </w:rPr>
        <w:t>2</w:t>
      </w:r>
      <w:r>
        <w:rPr>
          <w:rFonts w:hint="eastAsia"/>
          <w:lang w:eastAsia="zh-CN"/>
        </w:rPr>
        <w:t>月哥本哈根世界气候大会上首次提出具体温室气体减排目标，承诺“到2020年，我国单位国内生产总值二氧化碳排放比2005年下降40%-45%”。此外，我国于2015年向《联合国气候变化框架公约》秘书处正式递交的应对气候变化自主贡献文件《强化应对气候变化行动—中国国家的自主贡献》中提出并确定了自主行动目标“二氧化碳排放2030年左右达到峰值并争取尽早达峰；单位国内生产总值二氧化碳排放比2005年下降60%－65%”。2020年9月22日，习近平总书记在第七十五届联合国大会一般性辩论上宣布：中国将提高国家自主贡献力度，采取更加有力的政策和措施，二氧化碳排放力争于2030年前达到峰值，努力争取2060年前实现碳中和。中央经济工作会议将“做好碳达峰、碳中和工作”作为2021年重点任务之一，明确各地、各部门要抓紧制定2030年前碳排放达峰行动方案。</w:t>
      </w:r>
      <w:r>
        <w:rPr>
          <w:rFonts w:hint="eastAsia"/>
          <w:lang w:val="en-US" w:eastAsia="zh-CN"/>
        </w:rPr>
        <w:t>2021年2月，国务院印发《关于加快建立健全绿色低碳循环发展经济体系的指导意见》，提出要培育绿色交易市场机制，进一步健全排污权、用能权、用水权、碳排放权等交易机制，降低交易成本，提高运转效率。</w:t>
      </w:r>
      <w:r>
        <w:rPr>
          <w:rFonts w:hint="eastAsia"/>
          <w:lang w:eastAsia="zh-CN"/>
        </w:rPr>
        <w:t>2021年9月，中共中央、国务院发布了《关于完整准确全面贯彻新发展理念做好碳达峰碳中和的意见》，为做好碳达峰碳中和工作，进一步明确了相关要求。这意味着中国未来将面临更为严格的碳排放约束。</w:t>
      </w:r>
      <w:r>
        <w:rPr>
          <w:rFonts w:hint="eastAsia"/>
          <w:lang w:val="en-US" w:eastAsia="zh-CN"/>
        </w:rPr>
        <w:t>2021年10月，国务院印发</w:t>
      </w:r>
      <w:r>
        <w:rPr>
          <w:rFonts w:hint="eastAsia"/>
          <w:lang w:eastAsia="zh-CN"/>
        </w:rPr>
        <w:t>《2030 年前碳达峰行动方案的通知》（国发〔2021〕23 号），提出加强碳排放统计核算能力建设，深化核算方法研究，加快建立统一规范的碳排放统计核算体系，支持行业、企业依据自身特点开展碳排放核算方法学研究，建立健全碳排放计量体系。</w:t>
      </w:r>
      <w:r>
        <w:rPr>
          <w:rFonts w:hint="eastAsia"/>
          <w:lang w:val="en-US" w:eastAsia="zh-CN"/>
        </w:rPr>
        <w:t>2023年4月，</w:t>
      </w:r>
      <w:r>
        <w:rPr>
          <w:rFonts w:hint="eastAsia"/>
          <w:lang w:eastAsia="zh-CN"/>
        </w:rPr>
        <w:t>国家标准委</w:t>
      </w:r>
      <w:r>
        <w:rPr>
          <w:rFonts w:hint="eastAsia"/>
          <w:lang w:val="en-US" w:eastAsia="zh-CN"/>
        </w:rPr>
        <w:t>等11个部委联合印发《碳达峰碳中和标准体系建设指南》，提出加快制修订能源、冶金、建材、化工、有色、纺织、机械、信息通信、交通运输、畜禽养殖等重点行业企业碳排放核算和报告标准以及数据质量相关标准规范。</w:t>
      </w:r>
    </w:p>
    <w:p>
      <w:pPr>
        <w:ind w:firstLine="560"/>
        <w:rPr>
          <w:rFonts w:hint="eastAsia"/>
          <w:lang w:eastAsia="zh-CN"/>
        </w:rPr>
      </w:pPr>
      <w:r>
        <w:rPr>
          <w:rFonts w:hint="eastAsia"/>
          <w:lang w:eastAsia="zh-CN"/>
        </w:rPr>
        <w:t>2011年，国家发改委下发《关于开展碳排放权交易试点工作的通知》，同意北京市、天津市、上海市、重庆市、湖北省、广东省以及深圳市开展碳排放权交易试点， 并于2013年正式启动碳交易试点。之后，我国开始在碳排放试点的基础上着手建立全国碳排放交易市场。2016年，国家发改委发布《关于切实做好全国碳排放权交易市场启动重点工作的通知》，对全国统一碳市场启动前重点准备工作做了具体部署。2017年3月底完成八大行业配额分配方法和基准线、默认值编制工作。2017年7月底，启动注册登记系统，启动全国交易系统。2017年12月20日正式印发了《全国碳排放权交易市场建设方案（发电行业）》，以发电行业为突破口，正式启动全国碳排放权交易体系。发电行业纳入的企业达到1700多家，排放量超过30亿吨，占全国碳排放量的近30%，中国的碳市场成为全世界最大的碳交易市场。本着“成熟一个，纳入一个”的原则，石化、钢铁、有色、造纸、交通等重点排放行业将逐步纳入全国碳排放权交易市场。</w:t>
      </w:r>
    </w:p>
    <w:p>
      <w:pPr>
        <w:pStyle w:val="9"/>
        <w:rPr>
          <w:rFonts w:hint="eastAsia"/>
          <w:lang w:eastAsia="zh-CN"/>
        </w:rPr>
      </w:pPr>
      <w:r>
        <w:rPr>
          <w:rFonts w:hint="eastAsia"/>
          <w:lang w:eastAsia="zh-CN"/>
        </w:rPr>
        <w:t>目前广东省民航（年排放 1 万吨二氧化碳（或年综合能源消费量5000 吨标准煤）及以上的企业）和深圳市交通运输行业（年度碳排放量达到三千吨二氧化碳当量以上的碳排放单位）纳入碳排放管理和交易。</w:t>
      </w:r>
    </w:p>
    <w:p>
      <w:pPr>
        <w:ind w:firstLine="560"/>
        <w:rPr>
          <w:rFonts w:hint="eastAsia"/>
          <w:lang w:eastAsia="zh-CN"/>
        </w:rPr>
      </w:pPr>
      <w:r>
        <w:rPr>
          <w:rFonts w:hint="eastAsia"/>
          <w:lang w:val="en-US" w:eastAsia="zh-CN"/>
        </w:rPr>
        <w:t>2015年8月-</w:t>
      </w:r>
      <w:r>
        <w:rPr>
          <w:rFonts w:hint="eastAsia"/>
          <w:lang w:eastAsia="zh-CN"/>
        </w:rPr>
        <w:t>2017年5月，广东省交通运输规划研究中心</w:t>
      </w:r>
      <w:r>
        <w:rPr>
          <w:rFonts w:hint="eastAsia"/>
          <w:lang w:val="en-US" w:eastAsia="zh-CN"/>
        </w:rPr>
        <w:t>承担</w:t>
      </w:r>
      <w:r>
        <w:rPr>
          <w:rFonts w:hint="eastAsia"/>
          <w:lang w:eastAsia="zh-CN"/>
        </w:rPr>
        <w:t>省发改委</w:t>
      </w:r>
      <w:r>
        <w:rPr>
          <w:rFonts w:hint="eastAsia"/>
          <w:lang w:val="en-US" w:eastAsia="zh-CN"/>
        </w:rPr>
        <w:t>项目</w:t>
      </w:r>
      <w:r>
        <w:rPr>
          <w:rFonts w:hint="eastAsia"/>
          <w:lang w:eastAsia="zh-CN"/>
        </w:rPr>
        <w:t>《广东省交通运输行业企业碳排放信息报告指南及核查规范研究》，研究广东省交通运输碳排放核算体系，完成编制广东省交通运输重点企业（班线客运、港口企业）碳排放信息报告指南。</w:t>
      </w:r>
    </w:p>
    <w:p>
      <w:pPr>
        <w:ind w:firstLine="560"/>
        <w:rPr>
          <w:rFonts w:hint="eastAsia"/>
          <w:lang w:eastAsia="zh-CN"/>
        </w:rPr>
      </w:pPr>
      <w:r>
        <w:rPr>
          <w:rFonts w:hint="eastAsia"/>
          <w:lang w:eastAsia="zh-CN"/>
        </w:rPr>
        <w:t>201</w:t>
      </w:r>
      <w:r>
        <w:rPr>
          <w:rFonts w:hint="eastAsia"/>
          <w:lang w:val="en-US" w:eastAsia="zh-CN"/>
        </w:rPr>
        <w:t>7</w:t>
      </w:r>
      <w:r>
        <w:rPr>
          <w:rFonts w:hint="eastAsia"/>
          <w:lang w:eastAsia="zh-CN"/>
        </w:rPr>
        <w:t>年7月-</w:t>
      </w:r>
      <w:r>
        <w:rPr>
          <w:rFonts w:hint="eastAsia"/>
          <w:lang w:val="en-US" w:eastAsia="zh-CN"/>
        </w:rPr>
        <w:t>2021年10</w:t>
      </w:r>
      <w:r>
        <w:rPr>
          <w:rFonts w:hint="eastAsia"/>
          <w:lang w:eastAsia="zh-CN"/>
        </w:rPr>
        <w:t>月，广东省交通运输规划研究中心参考和借鉴了《陆上交通企业温室气体排放核算方法与报告指南》</w:t>
      </w:r>
      <w:r>
        <w:rPr>
          <w:rFonts w:hint="eastAsia"/>
          <w:lang w:val="en-US" w:eastAsia="zh-CN"/>
        </w:rPr>
        <w:t>等文件</w:t>
      </w:r>
      <w:r>
        <w:rPr>
          <w:rFonts w:hint="eastAsia"/>
          <w:lang w:eastAsia="zh-CN"/>
        </w:rPr>
        <w:t>，在充分调查研究</w:t>
      </w:r>
      <w:r>
        <w:rPr>
          <w:rFonts w:hint="eastAsia"/>
          <w:lang w:val="en-US" w:eastAsia="zh-CN"/>
        </w:rPr>
        <w:t>我省重点港口企业能耗及排放</w:t>
      </w:r>
      <w:r>
        <w:rPr>
          <w:rFonts w:hint="eastAsia"/>
          <w:lang w:eastAsia="zh-CN"/>
        </w:rPr>
        <w:t>的基础上，在广泛征求意见的基础上，按照标准编写规则编制</w:t>
      </w:r>
      <w:r>
        <w:rPr>
          <w:rFonts w:hint="eastAsia"/>
          <w:lang w:val="en-US" w:eastAsia="zh-CN"/>
        </w:rPr>
        <w:t>标准草案，</w:t>
      </w:r>
      <w:r>
        <w:rPr>
          <w:rFonts w:hint="eastAsia"/>
          <w:lang w:eastAsia="zh-CN"/>
        </w:rPr>
        <w:t>选取典型</w:t>
      </w:r>
      <w:r>
        <w:rPr>
          <w:rFonts w:hint="eastAsia"/>
          <w:lang w:val="en-US" w:eastAsia="zh-CN"/>
        </w:rPr>
        <w:t>港口</w:t>
      </w:r>
      <w:r>
        <w:rPr>
          <w:rFonts w:hint="eastAsia"/>
          <w:lang w:eastAsia="zh-CN"/>
        </w:rPr>
        <w:t>企业试报，</w:t>
      </w:r>
      <w:r>
        <w:rPr>
          <w:rFonts w:hint="eastAsia"/>
          <w:lang w:val="en-US" w:eastAsia="zh-CN"/>
        </w:rPr>
        <w:t>并由省交通运输厅推荐申报广东省地方标准</w:t>
      </w:r>
      <w:r>
        <w:rPr>
          <w:rFonts w:hint="eastAsia"/>
          <w:lang w:eastAsia="zh-CN"/>
        </w:rPr>
        <w:t>。</w:t>
      </w:r>
    </w:p>
    <w:p>
      <w:pPr>
        <w:ind w:firstLine="560"/>
        <w:rPr>
          <w:rFonts w:hint="eastAsia"/>
          <w:lang w:eastAsia="zh-CN"/>
        </w:rPr>
      </w:pPr>
      <w:r>
        <w:rPr>
          <w:rFonts w:hint="eastAsia"/>
          <w:lang w:val="en-US" w:eastAsia="zh-CN"/>
        </w:rPr>
        <w:t>根据</w:t>
      </w:r>
      <w:r>
        <w:rPr>
          <w:rFonts w:hint="eastAsia"/>
          <w:lang w:eastAsia="zh-CN"/>
        </w:rPr>
        <w:t>广东省市场监督管理局关于批准下达2021年第二批广东省地方标准制修订计划项目的通知（粤市监标准〔202</w:t>
      </w:r>
      <w:r>
        <w:rPr>
          <w:rFonts w:hint="eastAsia"/>
          <w:lang w:val="en-US" w:eastAsia="zh-CN"/>
        </w:rPr>
        <w:t>2</w:t>
      </w:r>
      <w:r>
        <w:rPr>
          <w:rFonts w:hint="eastAsia"/>
          <w:lang w:eastAsia="zh-CN"/>
        </w:rPr>
        <w:t>〕</w:t>
      </w:r>
      <w:r>
        <w:rPr>
          <w:rFonts w:hint="eastAsia"/>
          <w:lang w:val="en-US" w:eastAsia="zh-CN"/>
        </w:rPr>
        <w:t>26</w:t>
      </w:r>
      <w:r>
        <w:rPr>
          <w:rFonts w:hint="eastAsia"/>
          <w:lang w:eastAsia="zh-CN"/>
        </w:rPr>
        <w:t xml:space="preserve"> 号），本标准于202</w:t>
      </w:r>
      <w:r>
        <w:rPr>
          <w:rFonts w:hint="eastAsia"/>
          <w:lang w:val="en-US" w:eastAsia="zh-CN"/>
        </w:rPr>
        <w:t>2</w:t>
      </w:r>
      <w:r>
        <w:rPr>
          <w:rFonts w:hint="eastAsia"/>
          <w:lang w:eastAsia="zh-CN"/>
        </w:rPr>
        <w:t>年</w:t>
      </w:r>
      <w:r>
        <w:rPr>
          <w:rFonts w:hint="eastAsia"/>
          <w:lang w:val="en-US" w:eastAsia="zh-CN"/>
        </w:rPr>
        <w:t>1</w:t>
      </w:r>
      <w:r>
        <w:rPr>
          <w:rFonts w:hint="eastAsia"/>
          <w:lang w:eastAsia="zh-CN"/>
        </w:rPr>
        <w:t>月纳入广东省地方标准制修订计划项目。课题组结合广东省</w:t>
      </w:r>
      <w:r>
        <w:rPr>
          <w:rFonts w:hint="eastAsia"/>
          <w:lang w:val="en-US" w:eastAsia="zh-CN"/>
        </w:rPr>
        <w:t>港口</w:t>
      </w:r>
      <w:r>
        <w:rPr>
          <w:rFonts w:hint="eastAsia"/>
          <w:lang w:eastAsia="zh-CN"/>
        </w:rPr>
        <w:t>实际，进一步补充完善了港口企业碳排放核算及报告</w:t>
      </w:r>
      <w:r>
        <w:rPr>
          <w:rFonts w:hint="eastAsia"/>
          <w:lang w:val="en-US" w:eastAsia="zh-CN"/>
        </w:rPr>
        <w:t>内容，</w:t>
      </w:r>
      <w:r>
        <w:rPr>
          <w:rFonts w:hint="eastAsia"/>
          <w:lang w:eastAsia="zh-CN"/>
        </w:rPr>
        <w:t>深入调查论证，形成《港口企业碳排放核算及报告规范》（</w:t>
      </w:r>
      <w:r>
        <w:rPr>
          <w:rFonts w:hint="eastAsia"/>
          <w:lang w:val="en-US" w:eastAsia="zh-CN"/>
        </w:rPr>
        <w:t>初稿</w:t>
      </w:r>
      <w:r>
        <w:rPr>
          <w:rFonts w:hint="eastAsia"/>
          <w:lang w:eastAsia="zh-CN"/>
        </w:rPr>
        <w:t>）。</w:t>
      </w:r>
    </w:p>
    <w:p>
      <w:pPr>
        <w:pStyle w:val="3"/>
        <w:rPr>
          <w:rFonts w:hint="eastAsia" w:eastAsia="宋体"/>
          <w:lang w:eastAsia="zh-CN"/>
        </w:rPr>
      </w:pPr>
      <w:bookmarkStart w:id="8" w:name="_Toc32157"/>
      <w:r>
        <w:rPr>
          <w:rFonts w:hint="eastAsia"/>
        </w:rPr>
        <w:t xml:space="preserve">1.2 </w:t>
      </w:r>
      <w:r>
        <w:rPr>
          <w:rFonts w:hint="eastAsia"/>
          <w:lang w:val="en-US" w:eastAsia="zh-CN"/>
        </w:rPr>
        <w:t>必要性</w:t>
      </w:r>
      <w:bookmarkEnd w:id="8"/>
    </w:p>
    <w:p>
      <w:pPr>
        <w:ind w:firstLine="560"/>
        <w:rPr>
          <w:rFonts w:hint="eastAsia"/>
        </w:rPr>
      </w:pPr>
      <w:r>
        <w:rPr>
          <w:rFonts w:hint="eastAsia"/>
        </w:rPr>
        <w:t>交通运输行业作为国家能源消费特别是石油消费的重点领域，编制碳排放核算及报告规范是应对气候变化的一项重要基础性工作。港口作为水陆运输的重要节点，是交通运输行业的重要组成部分，编制港口企业碳排放核算及报告规范有助于行业决策者摸清行业温室气体排放的整体情况，有利于深入分析行业减排的关键领域和潜力，对于交通运输行业乃至国家节能减排目标的顺利实现都至关重要。</w:t>
      </w:r>
    </w:p>
    <w:p>
      <w:pPr>
        <w:ind w:firstLine="560"/>
      </w:pPr>
      <w:r>
        <w:rPr>
          <w:rFonts w:hint="eastAsia"/>
        </w:rPr>
        <w:t>本</w:t>
      </w:r>
      <w:r>
        <w:rPr>
          <w:rFonts w:hint="eastAsia"/>
          <w:lang w:val="en-US" w:eastAsia="zh-CN"/>
        </w:rPr>
        <w:t>标准编制组</w:t>
      </w:r>
      <w:r>
        <w:rPr>
          <w:rFonts w:hint="eastAsia"/>
        </w:rPr>
        <w:t>深入了解国内外以及广东省各行业企业温室气体排放核算方法，在此基础上进一步深化研究内容，研究提出科学合理、具有可操作性的港口企业碳排放核算方法；构建一套适应于我省港口企业的多种能耗的碳排放核算体系，制定我省港口企业碳排放核算及报告规范，将对交通运输行业积极推进碳排放核算工作起到有效的技术支撑。对广东省港口企业逐步实施碳排放报告及管理工作具有很强的指导意义，为我省港口企业参与碳排放交易创造了条件，有利于相关工作做到在国内各省市交通运输行业中先行先试。</w:t>
      </w:r>
    </w:p>
    <w:p>
      <w:pPr>
        <w:pStyle w:val="2"/>
        <w:rPr>
          <w:rFonts w:hint="eastAsia"/>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
      </w:pPr>
      <w:bookmarkStart w:id="9" w:name="_Toc11014"/>
      <w:r>
        <w:rPr>
          <w:rFonts w:hint="eastAsia"/>
        </w:rPr>
        <w:t>第</w:t>
      </w:r>
      <w:r>
        <w:rPr>
          <w:rFonts w:hint="eastAsia"/>
          <w:lang w:val="en-US" w:eastAsia="zh-CN"/>
        </w:rPr>
        <w:t>2</w:t>
      </w:r>
      <w:r>
        <w:rPr>
          <w:rFonts w:hint="eastAsia"/>
        </w:rPr>
        <w:t xml:space="preserve">章  </w:t>
      </w:r>
      <w:r>
        <w:rPr>
          <w:rFonts w:hint="eastAsia"/>
          <w:lang w:val="en-US" w:eastAsia="zh-CN"/>
        </w:rPr>
        <w:t>原则和编制依据</w:t>
      </w:r>
      <w:bookmarkEnd w:id="9"/>
    </w:p>
    <w:p>
      <w:pPr>
        <w:pStyle w:val="3"/>
      </w:pPr>
      <w:bookmarkStart w:id="10" w:name="_Toc22753"/>
      <w:r>
        <w:rPr>
          <w:rFonts w:hint="eastAsia"/>
          <w:lang w:val="en-US" w:eastAsia="zh-CN"/>
        </w:rPr>
        <w:t>2</w:t>
      </w:r>
      <w:r>
        <w:rPr>
          <w:rFonts w:hint="eastAsia"/>
        </w:rPr>
        <w:t xml:space="preserve">.1 </w:t>
      </w:r>
      <w:r>
        <w:rPr>
          <w:rFonts w:hint="eastAsia"/>
          <w:lang w:eastAsia="zh-CN"/>
        </w:rPr>
        <w:t>遵循原则</w:t>
      </w:r>
      <w:bookmarkEnd w:id="10"/>
    </w:p>
    <w:p>
      <w:pPr>
        <w:ind w:firstLine="560"/>
        <w:rPr>
          <w:rFonts w:hint="eastAsia"/>
          <w:lang w:eastAsia="zh-CN"/>
        </w:rPr>
      </w:pPr>
      <w:r>
        <w:rPr>
          <w:rFonts w:hint="eastAsia"/>
          <w:lang w:eastAsia="zh-CN"/>
        </w:rPr>
        <w:t>本标准严格按照GB/T 1.1-2020的要求进行编写，遵循“相关性、一致性、准确性、透明性、真实性”的基本原则。</w:t>
      </w:r>
    </w:p>
    <w:p>
      <w:pPr>
        <w:pStyle w:val="3"/>
      </w:pPr>
      <w:bookmarkStart w:id="11" w:name="_Toc32061"/>
      <w:r>
        <w:rPr>
          <w:rFonts w:hint="eastAsia"/>
          <w:lang w:val="en-US" w:eastAsia="zh-CN"/>
        </w:rPr>
        <w:t>2</w:t>
      </w:r>
      <w:r>
        <w:rPr>
          <w:rFonts w:hint="eastAsia"/>
        </w:rPr>
        <w:t xml:space="preserve">.1 </w:t>
      </w:r>
      <w:r>
        <w:rPr>
          <w:rFonts w:hint="eastAsia"/>
          <w:lang w:eastAsia="zh-CN"/>
        </w:rPr>
        <w:t>编制依据</w:t>
      </w:r>
      <w:bookmarkEnd w:id="11"/>
    </w:p>
    <w:p>
      <w:pPr>
        <w:ind w:firstLine="560"/>
        <w:rPr>
          <w:rFonts w:hint="eastAsia"/>
          <w:lang w:eastAsia="zh-CN"/>
        </w:rPr>
      </w:pPr>
      <w:r>
        <w:rPr>
          <w:rFonts w:hint="eastAsia"/>
          <w:lang w:eastAsia="zh-CN"/>
        </w:rPr>
        <w:t>本标准在内容上主要参考以下文件：</w:t>
      </w:r>
    </w:p>
    <w:p>
      <w:pPr>
        <w:ind w:firstLine="560"/>
        <w:rPr>
          <w:rFonts w:hint="eastAsia"/>
        </w:rPr>
      </w:pPr>
      <w:r>
        <w:rPr>
          <w:rFonts w:hint="eastAsia"/>
        </w:rPr>
        <w:t>GB/T 213煤的发热量测定方法</w:t>
      </w:r>
    </w:p>
    <w:p>
      <w:pPr>
        <w:ind w:firstLine="560"/>
        <w:rPr>
          <w:rFonts w:hint="eastAsia"/>
        </w:rPr>
      </w:pPr>
      <w:r>
        <w:rPr>
          <w:rFonts w:hint="eastAsia"/>
        </w:rPr>
        <w:t>GB/T 384 石油产品热值测定法　</w:t>
      </w:r>
    </w:p>
    <w:p>
      <w:pPr>
        <w:ind w:firstLine="560"/>
        <w:rPr>
          <w:rFonts w:hint="eastAsia"/>
        </w:rPr>
      </w:pPr>
      <w:r>
        <w:rPr>
          <w:rFonts w:hint="eastAsia"/>
        </w:rPr>
        <w:t>GB/T 2589 综合能耗计算通则</w:t>
      </w:r>
    </w:p>
    <w:p>
      <w:pPr>
        <w:ind w:firstLine="560"/>
        <w:rPr>
          <w:rFonts w:hint="eastAsia"/>
        </w:rPr>
      </w:pPr>
      <w:r>
        <w:rPr>
          <w:rFonts w:hint="eastAsia"/>
        </w:rPr>
        <w:t>GB 17167 用能单位能源计量器具配备和管理通则　</w:t>
      </w:r>
    </w:p>
    <w:p>
      <w:pPr>
        <w:ind w:firstLine="560"/>
        <w:rPr>
          <w:rFonts w:hint="eastAsia"/>
        </w:rPr>
      </w:pPr>
      <w:r>
        <w:rPr>
          <w:rFonts w:hint="eastAsia"/>
        </w:rPr>
        <w:t>GB/T 20901石油石化行业能源计量器具配备和管理要求</w:t>
      </w:r>
    </w:p>
    <w:p>
      <w:pPr>
        <w:ind w:firstLine="560"/>
        <w:rPr>
          <w:rFonts w:hint="eastAsia"/>
        </w:rPr>
      </w:pPr>
      <w:r>
        <w:rPr>
          <w:rFonts w:hint="eastAsia"/>
        </w:rPr>
        <w:t>GB/T 21339 港口能源消耗统计及分析方法</w:t>
      </w:r>
    </w:p>
    <w:p>
      <w:pPr>
        <w:ind w:firstLine="560"/>
        <w:rPr>
          <w:rFonts w:hint="eastAsia"/>
        </w:rPr>
      </w:pPr>
      <w:r>
        <w:rPr>
          <w:rFonts w:hint="eastAsia"/>
        </w:rPr>
        <w:t>GB/T 22723 天然气能量的测定</w:t>
      </w:r>
    </w:p>
    <w:p>
      <w:pPr>
        <w:ind w:firstLine="560"/>
      </w:pPr>
      <w:r>
        <w:rPr>
          <w:rFonts w:hint="eastAsia"/>
        </w:rPr>
        <w:t>省级温室气体清单编制指南（试行）</w: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pPr>
      <w:bookmarkStart w:id="12" w:name="_Toc21969"/>
      <w:r>
        <w:rPr>
          <w:rFonts w:hint="eastAsia"/>
        </w:rPr>
        <w:t>第</w:t>
      </w:r>
      <w:r>
        <w:rPr>
          <w:rFonts w:hint="eastAsia"/>
          <w:lang w:val="en-US" w:eastAsia="zh-CN"/>
        </w:rPr>
        <w:t>3</w:t>
      </w:r>
      <w:r>
        <w:rPr>
          <w:rFonts w:hint="eastAsia"/>
        </w:rPr>
        <w:t xml:space="preserve">章  </w:t>
      </w:r>
      <w:r>
        <w:rPr>
          <w:rFonts w:hint="eastAsia"/>
          <w:lang w:eastAsia="zh-CN"/>
        </w:rPr>
        <w:t>与现行相关标准的异同</w:t>
      </w:r>
      <w:bookmarkEnd w:id="12"/>
    </w:p>
    <w:p>
      <w:pPr>
        <w:pStyle w:val="3"/>
        <w:rPr>
          <w:rFonts w:hint="eastAsia" w:eastAsia="宋体"/>
          <w:lang w:val="en-US" w:eastAsia="zh-CN"/>
        </w:rPr>
      </w:pPr>
      <w:bookmarkStart w:id="13" w:name="_Toc19658"/>
      <w:r>
        <w:rPr>
          <w:rFonts w:hint="eastAsia"/>
          <w:lang w:val="en-US" w:eastAsia="zh-CN"/>
        </w:rPr>
        <w:t>3</w:t>
      </w:r>
      <w:r>
        <w:rPr>
          <w:rFonts w:hint="eastAsia"/>
        </w:rPr>
        <w:t>.</w:t>
      </w:r>
      <w:r>
        <w:rPr>
          <w:rFonts w:hint="eastAsia"/>
          <w:lang w:val="en-US" w:eastAsia="zh-CN"/>
        </w:rPr>
        <w:t>1</w:t>
      </w:r>
      <w:r>
        <w:rPr>
          <w:rFonts w:hint="eastAsia"/>
        </w:rPr>
        <w:t xml:space="preserve"> 国内外情况说明</w:t>
      </w:r>
      <w:bookmarkEnd w:id="13"/>
    </w:p>
    <w:p>
      <w:pPr>
        <w:ind w:firstLine="560"/>
        <w:rPr>
          <w:rFonts w:hint="eastAsia"/>
        </w:rPr>
      </w:pPr>
      <w:r>
        <w:rPr>
          <w:rFonts w:hint="eastAsia"/>
        </w:rPr>
        <w:t>政府间气候变化专门委员会（Intergovernmental Panel on Climate Change，简称IPCC）是由世界气象组织（WMO）和联合国环境署（UNEP）在1988年共同建立的国际性组织，尝试从科学与政治2个角度推进碳排放领域的研究与实践，以达到各国政府合作减少碳排放的目的。IPCC在碳排放领域的研究主要集中于提出和构建碳排放量核算的范式与框架；公布全球气候变化的研究报告；出版温室气体排放源的指导性清单，并分别附带计算方法。IPCC 的理论与方法被各国普遍接受。IPCC聚集了全世界1000余位科学家，对全球气候变化、土地变化、碳排放估算的范式开展了为期10余年的究工作，发表各式报告、指南等文本数10份，已大致建立起了包含各学科领域、各地域要素、各生产环节在内的碳排放估算框架体系，并给出了碳排放源清单与核算方法，成功指导了区域实践。目前各国政府主导的碳排放核算工作大多在IPCC制定的范式指导下开展。</w:t>
      </w:r>
    </w:p>
    <w:p>
      <w:pPr>
        <w:ind w:firstLine="560"/>
        <w:rPr>
          <w:rFonts w:hint="eastAsia" w:eastAsia="宋体"/>
          <w:lang w:eastAsia="zh-CN"/>
        </w:rPr>
      </w:pPr>
      <w:r>
        <w:rPr>
          <w:rFonts w:hint="eastAsia"/>
        </w:rPr>
        <w:t>2006 年 3 月 1 日，国际标准化组织（ISO）发布了ISO14064 标准。它致力于提高企事业单位对温室气体（GHG）排放的报告和信誉保证，以减少和消除 GHG 的排放为最终目标。标准规定了国际上最佳的温室气体资料和数据管理、汇报和验证模式。组织可以通过使用标准化的方法，计算和验证排放量数值，确保1吨二氧化碳的测量方式在全球任何地方都是一样的。这使排放声明不确定度的计算在全世界得到统一。ISO 14064包含的三部分内容</w:t>
      </w:r>
      <w:r>
        <w:rPr>
          <w:rFonts w:hint="eastAsia"/>
          <w:lang w:eastAsia="zh-CN"/>
        </w:rPr>
        <w:t>，</w:t>
      </w:r>
      <w:r>
        <w:rPr>
          <w:rFonts w:hint="eastAsia"/>
          <w:lang w:val="en-US" w:eastAsia="zh-CN"/>
        </w:rPr>
        <w:t>其中</w:t>
      </w:r>
      <w:r>
        <w:rPr>
          <w:rFonts w:hint="eastAsia"/>
          <w:lang w:eastAsia="zh-CN"/>
        </w:rPr>
        <w:t>ISO 14064-1 组织层次上对温室气体排放和清除的量化和报告的规范及指南；ISO 14064-2 项目层次上对温室气体减排和清除增加的量化、监测和报告的规范及指南；ISO 14064-3 温室气体声明审定与核查的规范及指南。</w:t>
      </w:r>
    </w:p>
    <w:p>
      <w:pPr>
        <w:ind w:firstLine="560"/>
        <w:rPr>
          <w:rFonts w:hint="eastAsia"/>
        </w:rPr>
      </w:pPr>
      <w:r>
        <w:rPr>
          <w:rFonts w:hint="eastAsia"/>
        </w:rPr>
        <w:t>2008年11月，欧盟理事会通过《2008年指令》。自2012年1月1日起，欧盟正式将航空业纳入欧盟排放交易体系（EU-ETS），要求所有飞往、飞经、飞离欧盟成员国机场的航班均需纳为欧盟碳排放交易体系的监管对象，要求在欧盟内起降的所有航班均需提交与其整个航程排放的温室气体等量的排放权或合格减排量，否则予以罚款及其他处罚。欧盟此次对航空领域碳排放的监测边界包括：与航空经营者有关的所有班机进行的航空活动所产生的排放。监测的温室气体仅包括CO2。</w:t>
      </w:r>
    </w:p>
    <w:p>
      <w:pPr>
        <w:ind w:firstLine="560"/>
        <w:rPr>
          <w:rFonts w:hint="eastAsia" w:eastAsia="宋体"/>
          <w:lang w:eastAsia="zh-CN"/>
        </w:rPr>
      </w:pPr>
      <w:r>
        <w:rPr>
          <w:rFonts w:hint="eastAsia"/>
        </w:rPr>
        <w:t>《温室气体核算体系：企业核算与报告标准》，简称GHGP，是世界上最具影响力和应用最广泛的企业碳核算工具。</w:t>
      </w:r>
      <w:r>
        <w:rPr>
          <w:rFonts w:hint="eastAsia"/>
          <w:lang w:val="en-US" w:eastAsia="zh-CN"/>
        </w:rPr>
        <w:t>由</w:t>
      </w:r>
      <w:r>
        <w:rPr>
          <w:rFonts w:hint="eastAsia"/>
        </w:rPr>
        <w:t>世界资源研究所（WRI）与世界可持续发展工商理事会（WBCSD）联合建立，始于1998年，其宗旨是制定国际认可的温室气体核算方法与报告标准，并推广其使用。GHG protocol 自2009年发布以来已被国际社会广泛采用。该体系中温室气体涵盖京都议定书中的六种温室气体，能为企业或者减排项目提供温室气体核算的标准化方法，也为企业和组织参与自愿性或者强制性的碳减排项目提供基础数据以及核算方法。温室气体核算体系是针对企业、组织或者减排项目进行温室气体核算的方法体系。体系组成中最主要的是三大标准：《温室气体核算体系：企业核算与报告标准》（一般称《企业标准》）；《温室气体核算体系：产品寿命周期核算和报告标准》（一般称《产品标准》）；《温室气体核算体系：企业价值链（范围三）核算与报告标准（2011）》（一般称《范围三标准》）</w:t>
      </w:r>
      <w:r>
        <w:rPr>
          <w:rFonts w:hint="eastAsia"/>
          <w:lang w:eastAsia="zh-CN"/>
        </w:rPr>
        <w:t>。</w:t>
      </w:r>
    </w:p>
    <w:p>
      <w:pPr>
        <w:ind w:firstLine="560"/>
        <w:rPr>
          <w:rFonts w:hint="eastAsia"/>
        </w:rPr>
      </w:pPr>
      <w:r>
        <w:rPr>
          <w:rFonts w:hint="eastAsia"/>
        </w:rPr>
        <w:t>目前我国发改委已经发布的两个交通类温室气体排放指南是《中国民用航空企业温室气体排放核算方法与报告指南》及《陆上交通企业温室气体排放核算方法与报告指南》，适用范围包括民用航空企业包括公共航空运输企业、通用航空企业以及机场企业、公路旅客运输、道路货物运输、城市客运、道路运输辅助活动（如公路维修与养护、高速公路运营管理等）、铁路运输的企业以及各沿海和内河港口企业。目前发改委给出的交通企业分类方法与交通运输行业普遍采取划分方法不同，按照交通运输行业普遍划分方法应包括：民航、铁路、水路运输、港口、公路运输、城市客运（公交、出租、轨道）。尚未给出水路运输企业温室气体排放核算方法。已有的核算方法中，除民航外其它交通方式分类不够明确，企业使用有困难。</w:t>
      </w:r>
    </w:p>
    <w:p>
      <w:pPr>
        <w:ind w:firstLine="560"/>
        <w:rPr>
          <w:rFonts w:hint="eastAsia"/>
        </w:rPr>
      </w:pPr>
      <w:r>
        <w:rPr>
          <w:rFonts w:hint="eastAsia"/>
        </w:rPr>
        <w:t>目前我国发改委发布的交通类温室气体排放指南主要给出了总体的要求及计算思路，对于指导交通企业实际应用仍有不足，主要体现在：</w:t>
      </w:r>
    </w:p>
    <w:p>
      <w:pPr>
        <w:ind w:firstLine="560"/>
        <w:rPr>
          <w:rFonts w:hint="eastAsia"/>
        </w:rPr>
      </w:pPr>
      <w:r>
        <w:rPr>
          <w:rFonts w:hint="eastAsia"/>
        </w:rPr>
        <w:t>（1）排放源不明确，只要求申报主要能耗设备能耗。在企业报告内容和格式中也没有给出具体排放源列表，只要求企业提供能源消费总量数据，对于没有能耗统计基础的企业，容易造成漏报少报情况。同时也无法反映出企业生产经营活动与能源消耗总量之间的关联，无法分析能耗排放产生的来源和关键来源，企业无法有效对应的实施节能减排措施。</w:t>
      </w:r>
    </w:p>
    <w:p>
      <w:pPr>
        <w:ind w:firstLine="560"/>
        <w:rPr>
          <w:rFonts w:hint="eastAsia"/>
        </w:rPr>
      </w:pPr>
      <w:r>
        <w:rPr>
          <w:rFonts w:hint="eastAsia"/>
        </w:rPr>
        <w:t>（2）活动水平数据获取方法不明确。交通运输企业活动水平数据来源及获取方法是温室气体排放核算指南的核心和关键，直接决定核算指南的可操作性。目前已有的核算指南都没有给出具体的活动水平数据获取方法，无法满足企业的使用需求。</w:t>
      </w:r>
    </w:p>
    <w:p>
      <w:pPr>
        <w:pStyle w:val="3"/>
        <w:rPr>
          <w:rFonts w:hint="eastAsia"/>
          <w:lang w:eastAsia="zh-CN"/>
        </w:rPr>
      </w:pPr>
      <w:bookmarkStart w:id="14" w:name="_Toc12462"/>
      <w:r>
        <w:rPr>
          <w:rFonts w:hint="eastAsia"/>
          <w:lang w:val="en-US" w:eastAsia="zh-CN"/>
        </w:rPr>
        <w:t>3</w:t>
      </w:r>
      <w:r>
        <w:rPr>
          <w:rFonts w:hint="eastAsia"/>
        </w:rPr>
        <w:t>.</w:t>
      </w:r>
      <w:r>
        <w:rPr>
          <w:rFonts w:hint="eastAsia"/>
          <w:lang w:val="en-US" w:eastAsia="zh-CN"/>
        </w:rPr>
        <w:t>2</w:t>
      </w:r>
      <w:r>
        <w:rPr>
          <w:rFonts w:hint="eastAsia"/>
        </w:rPr>
        <w:t xml:space="preserve"> </w:t>
      </w:r>
      <w:r>
        <w:rPr>
          <w:rFonts w:hint="eastAsia"/>
          <w:lang w:eastAsia="zh-CN"/>
        </w:rPr>
        <w:t>本规范补充完善的内容</w:t>
      </w:r>
      <w:bookmarkEnd w:id="14"/>
    </w:p>
    <w:p>
      <w:pPr>
        <w:rPr>
          <w:rFonts w:hint="eastAsia"/>
          <w:lang w:eastAsia="zh-CN"/>
        </w:rPr>
      </w:pPr>
      <w:r>
        <w:rPr>
          <w:rFonts w:hint="eastAsia"/>
          <w:lang w:eastAsia="zh-CN"/>
        </w:rPr>
        <w:t>本标准草案参考和借鉴了《2006 年 IPCC 国家温室气体清单指南》、《陆上交通企业温室气体排放核算方法与报告指南》、《广东省企业（单位）二氧化碳排放信息报告指南》通用的框架、计算方法和报告表式，结合广东省港口企业的特点，进一步完善和补充了以下内容：</w:t>
      </w:r>
    </w:p>
    <w:p>
      <w:pPr>
        <w:pStyle w:val="9"/>
        <w:rPr>
          <w:rFonts w:hint="eastAsia"/>
          <w:lang w:eastAsia="zh-CN"/>
        </w:rPr>
      </w:pPr>
      <w:r>
        <w:rPr>
          <w:rFonts w:hint="eastAsia"/>
          <w:lang w:eastAsia="zh-CN"/>
        </w:rPr>
        <w:t>（1）准确界定广东省港口企业碳排放核算边界，在参考国内外已有的企业碳排放核算标准的基础上，重点考虑港口企业经营模式特征。</w:t>
      </w:r>
    </w:p>
    <w:p>
      <w:pPr>
        <w:pStyle w:val="9"/>
        <w:rPr>
          <w:rFonts w:hint="eastAsia"/>
          <w:lang w:eastAsia="zh-CN"/>
        </w:rPr>
      </w:pPr>
      <w:r>
        <w:rPr>
          <w:rFonts w:hint="eastAsia"/>
          <w:lang w:eastAsia="zh-CN"/>
        </w:rPr>
        <w:t>（2）合理识别港口企业碳排放活动，</w:t>
      </w:r>
      <w:r>
        <w:rPr>
          <w:rFonts w:hint="eastAsia"/>
          <w:lang w:val="en-US" w:eastAsia="zh-CN"/>
        </w:rPr>
        <w:t>包括港口装卸生产、辅助生产、附属生产和岸电使用等</w:t>
      </w:r>
      <w:r>
        <w:rPr>
          <w:rFonts w:hint="eastAsia"/>
          <w:lang w:eastAsia="zh-CN"/>
        </w:rPr>
        <w:t>，</w:t>
      </w:r>
      <w:r>
        <w:rPr>
          <w:rFonts w:hint="eastAsia"/>
          <w:lang w:val="en-US" w:eastAsia="zh-CN"/>
        </w:rPr>
        <w:t>规定企业核算装卸生产和辅助生产直接和间接的二氧化碳排放；附属生产、岸电使用等特殊二氧化碳排放</w:t>
      </w:r>
      <w:r>
        <w:rPr>
          <w:rFonts w:hint="eastAsia"/>
          <w:lang w:eastAsia="zh-CN"/>
        </w:rPr>
        <w:t>，企业需对岸电使用量进行报告，但暂不核算成二氧化碳排放，便于企业申报，同时方便核查机构进行碳排放核查。</w:t>
      </w:r>
    </w:p>
    <w:p>
      <w:pPr>
        <w:pStyle w:val="9"/>
        <w:rPr>
          <w:rFonts w:hint="eastAsia"/>
          <w:lang w:eastAsia="zh-CN"/>
        </w:rPr>
      </w:pPr>
      <w:r>
        <w:rPr>
          <w:rFonts w:hint="eastAsia"/>
          <w:lang w:eastAsia="zh-CN"/>
        </w:rPr>
        <w:t>（3）按照港口企业经营规模、活动水平数据及排放因子数据获得水平，构建具备科学性和实操性的港口企业二氧化碳排放量核算方法。</w:t>
      </w:r>
    </w:p>
    <w:p>
      <w:pPr>
        <w:pStyle w:val="9"/>
        <w:rPr>
          <w:rFonts w:hint="eastAsia"/>
          <w:lang w:eastAsia="zh-CN"/>
        </w:rPr>
      </w:pPr>
      <w:r>
        <w:rPr>
          <w:rFonts w:hint="eastAsia"/>
          <w:lang w:eastAsia="zh-CN"/>
        </w:rPr>
        <w:t>（4）构建一套完整的港口企业多种能耗的碳排放核算体系，包括：柴油、天然气、电力等多种能源，给出活动水平数据及排放因子测量获取方法。</w:t>
      </w:r>
    </w:p>
    <w:p>
      <w:pPr>
        <w:pStyle w:val="9"/>
        <w:rPr>
          <w:rFonts w:hint="eastAsia"/>
          <w:lang w:eastAsia="zh-CN"/>
        </w:rPr>
      </w:pPr>
      <w:r>
        <w:rPr>
          <w:rFonts w:hint="eastAsia"/>
          <w:lang w:eastAsia="zh-CN"/>
        </w:rPr>
        <w:t>（5）建立广东省港口企业碳排放核算及报告规范，规范具有很强的可操作性，明确企业碳排放核算流程及企业需填报的数据，尽量不增加企业负担。</w:t>
      </w:r>
    </w:p>
    <w:p>
      <w:pPr>
        <w:pStyle w:val="3"/>
        <w:bidi w:val="0"/>
        <w:rPr>
          <w:rFonts w:hint="eastAsia"/>
          <w:lang w:eastAsia="zh-CN"/>
        </w:rPr>
      </w:pPr>
      <w:bookmarkStart w:id="15" w:name="_Toc2505"/>
      <w:r>
        <w:rPr>
          <w:rFonts w:hint="eastAsia"/>
          <w:lang w:val="en-US" w:eastAsia="zh-CN"/>
        </w:rPr>
        <w:t>3</w:t>
      </w:r>
      <w:r>
        <w:rPr>
          <w:rFonts w:hint="eastAsia"/>
        </w:rPr>
        <w:t>.</w:t>
      </w:r>
      <w:r>
        <w:rPr>
          <w:rFonts w:hint="eastAsia"/>
          <w:lang w:val="en-US" w:eastAsia="zh-CN"/>
        </w:rPr>
        <w:t xml:space="preserve">3 </w:t>
      </w:r>
      <w:r>
        <w:rPr>
          <w:rFonts w:hint="eastAsia"/>
          <w:lang w:eastAsia="zh-CN"/>
        </w:rPr>
        <w:t>本规范实用价值</w:t>
      </w:r>
      <w:bookmarkEnd w:id="15"/>
    </w:p>
    <w:p>
      <w:pPr>
        <w:ind w:firstLine="560"/>
        <w:rPr>
          <w:rFonts w:hint="eastAsia"/>
        </w:rPr>
      </w:pPr>
      <w:r>
        <w:rPr>
          <w:rFonts w:hint="eastAsia"/>
          <w:lang w:eastAsia="zh-CN"/>
        </w:rPr>
        <w:t>（</w:t>
      </w:r>
      <w:r>
        <w:rPr>
          <w:rFonts w:hint="eastAsia"/>
          <w:lang w:val="en-US" w:eastAsia="zh-CN"/>
        </w:rPr>
        <w:t>1</w:t>
      </w:r>
      <w:r>
        <w:rPr>
          <w:rFonts w:hint="eastAsia"/>
          <w:lang w:eastAsia="zh-CN"/>
        </w:rPr>
        <w:t>）</w:t>
      </w:r>
      <w:r>
        <w:rPr>
          <w:rFonts w:hint="eastAsia"/>
        </w:rPr>
        <w:t>研究得出的核算方法对于港口企业有效开展碳排放核算具有很强的指导意义和实用价值。</w:t>
      </w:r>
    </w:p>
    <w:p>
      <w:pPr>
        <w:ind w:firstLine="560"/>
        <w:rPr>
          <w:rFonts w:hint="eastAsia"/>
        </w:rPr>
      </w:pPr>
      <w:r>
        <w:rPr>
          <w:rFonts w:hint="eastAsia"/>
        </w:rPr>
        <w:t>项目成果将推动我省</w:t>
      </w:r>
      <w:r>
        <w:rPr>
          <w:rFonts w:hint="eastAsia"/>
          <w:lang w:val="en-US" w:eastAsia="zh-CN"/>
        </w:rPr>
        <w:t>港口</w:t>
      </w:r>
      <w:r>
        <w:rPr>
          <w:rFonts w:hint="eastAsia"/>
        </w:rPr>
        <w:t>企业科学核算和规范报告自身的温室气体排放，制定企业温室气体排放控制计划，推动企业积极参与碳排放交易，强化企业社会责任。随着全国碳交易市场于2017年12月启动，电力行业作为首先启动的重点排放行业被纳入全国碳排放交易市场，交通运输行业将被逐步纳入碳交易市场范围，通过碳盘查将促进企业减少碳排放，使企业贡献出更多的社会效益，同时将为企业带来直接的经济效益。</w:t>
      </w:r>
    </w:p>
    <w:p>
      <w:pPr>
        <w:ind w:firstLine="560"/>
        <w:rPr>
          <w:rFonts w:hint="eastAsia"/>
        </w:rPr>
      </w:pPr>
      <w:r>
        <w:rPr>
          <w:rFonts w:hint="eastAsia"/>
          <w:lang w:eastAsia="zh-CN"/>
        </w:rPr>
        <w:t>（</w:t>
      </w:r>
      <w:r>
        <w:rPr>
          <w:rFonts w:hint="eastAsia"/>
          <w:lang w:val="en-US" w:eastAsia="zh-CN"/>
        </w:rPr>
        <w:t>2</w:t>
      </w:r>
      <w:r>
        <w:rPr>
          <w:rFonts w:hint="eastAsia"/>
          <w:lang w:eastAsia="zh-CN"/>
        </w:rPr>
        <w:t>）</w:t>
      </w:r>
      <w:r>
        <w:rPr>
          <w:rFonts w:hint="eastAsia"/>
        </w:rPr>
        <w:t>研究编制的碳排放信息报告指南，为发改、交通、</w:t>
      </w:r>
      <w:r>
        <w:rPr>
          <w:rFonts w:hint="eastAsia"/>
          <w:lang w:val="en-US" w:eastAsia="zh-CN"/>
        </w:rPr>
        <w:t>生态环境</w:t>
      </w:r>
      <w:r>
        <w:rPr>
          <w:rFonts w:hint="eastAsia"/>
        </w:rPr>
        <w:t>等主管部门建立并实施重点企业温室气体报告制度奠定基础。</w:t>
      </w:r>
    </w:p>
    <w:p>
      <w:pPr>
        <w:ind w:firstLine="560"/>
        <w:rPr>
          <w:rFonts w:hint="eastAsia"/>
        </w:rPr>
      </w:pPr>
      <w:r>
        <w:rPr>
          <w:rFonts w:hint="eastAsia"/>
        </w:rPr>
        <w:t>项目的研究成果一方面为发改、交通、生态环境等主管部门建立并实施重点企业温室气体报告制度奠定基础，掌握重点企业温室气体排放情况，制定相关政策提供支撑；另一方，研究成果将指导我省开展交通运输行业重点企业的碳盘查工作，有效的促进交通运输企业的碳排放量的减少，减少交通运输活动对生态环境的污染和破坏，具有显著节能减排效果和社会效益，对交通运输行业的绿色可持续发展具有重要意义。</w:t>
      </w:r>
    </w:p>
    <w:p>
      <w:pPr>
        <w:ind w:firstLine="560"/>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pPr>
      <w:bookmarkStart w:id="16" w:name="_Toc4757"/>
      <w:r>
        <w:rPr>
          <w:rFonts w:hint="eastAsia"/>
        </w:rPr>
        <w:t>第</w:t>
      </w:r>
      <w:r>
        <w:rPr>
          <w:rFonts w:hint="eastAsia"/>
          <w:lang w:val="en-US" w:eastAsia="zh-CN"/>
        </w:rPr>
        <w:t>4</w:t>
      </w:r>
      <w:r>
        <w:rPr>
          <w:rFonts w:hint="eastAsia"/>
        </w:rPr>
        <w:t xml:space="preserve">章  </w:t>
      </w:r>
      <w:r>
        <w:rPr>
          <w:rFonts w:hint="eastAsia"/>
          <w:lang w:val="en-US" w:eastAsia="zh-CN"/>
        </w:rPr>
        <w:t>标准编制过程</w:t>
      </w:r>
      <w:bookmarkEnd w:id="16"/>
    </w:p>
    <w:p>
      <w:pPr>
        <w:pStyle w:val="3"/>
        <w:rPr>
          <w:rFonts w:hint="eastAsia"/>
          <w:lang w:eastAsia="zh-CN"/>
        </w:rPr>
      </w:pPr>
      <w:bookmarkStart w:id="17" w:name="_Toc5256"/>
      <w:r>
        <w:rPr>
          <w:rFonts w:hint="eastAsia"/>
          <w:lang w:val="en-US" w:eastAsia="zh-CN"/>
        </w:rPr>
        <w:t>4</w:t>
      </w:r>
      <w:r>
        <w:rPr>
          <w:rFonts w:hint="eastAsia"/>
        </w:rPr>
        <w:t>.</w:t>
      </w:r>
      <w:r>
        <w:rPr>
          <w:rFonts w:hint="eastAsia"/>
          <w:lang w:val="en-US" w:eastAsia="zh-CN"/>
        </w:rPr>
        <w:t>1</w:t>
      </w:r>
      <w:r>
        <w:rPr>
          <w:rFonts w:hint="eastAsia"/>
        </w:rPr>
        <w:t xml:space="preserve"> 标准文稿的编制情况</w:t>
      </w:r>
      <w:bookmarkEnd w:id="17"/>
    </w:p>
    <w:p>
      <w:pPr>
        <w:ind w:firstLine="560"/>
        <w:rPr>
          <w:rFonts w:hint="eastAsia"/>
          <w:lang w:eastAsia="zh-CN"/>
        </w:rPr>
      </w:pPr>
      <w:r>
        <w:rPr>
          <w:rFonts w:hint="eastAsia"/>
          <w:lang w:val="en-US" w:eastAsia="zh-CN"/>
        </w:rPr>
        <w:t>本</w:t>
      </w:r>
      <w:r>
        <w:rPr>
          <w:rFonts w:hint="eastAsia"/>
          <w:lang w:eastAsia="zh-CN"/>
        </w:rPr>
        <w:t>标准文稿的编制情况如下：</w:t>
      </w:r>
    </w:p>
    <w:p>
      <w:pPr>
        <w:ind w:firstLine="560"/>
        <w:rPr>
          <w:rFonts w:hint="eastAsia"/>
          <w:lang w:eastAsia="zh-CN"/>
        </w:rPr>
      </w:pPr>
      <w:r>
        <w:rPr>
          <w:rFonts w:hint="eastAsia"/>
          <w:lang w:eastAsia="zh-CN"/>
        </w:rPr>
        <w:t>2015年8月-2017年5月，广东省交通运输规划研究中心承担省发改委项目《广东省交通运输行业企业碳排放信息报告指南及核查规范研究》，研究广东省交通运输碳排放核算体系，完成编制广东省交通运输重点企业（班线客运、港口企业）碳排放信息报告指南。</w:t>
      </w:r>
    </w:p>
    <w:p>
      <w:pPr>
        <w:ind w:firstLine="560"/>
        <w:rPr>
          <w:rFonts w:hint="eastAsia"/>
          <w:lang w:eastAsia="zh-CN"/>
        </w:rPr>
      </w:pPr>
      <w:r>
        <w:rPr>
          <w:rFonts w:hint="eastAsia"/>
          <w:lang w:eastAsia="zh-CN"/>
        </w:rPr>
        <w:t>2017年7月-2021年10月，广东省交通运输规划研究中心参考和借鉴了《陆上交通企业温室气体排放核算方法与报告指南》等文件，在充分调查研究我省重点港口企业能耗及排放的基础上，在广泛征求意见的基础上，按照标准编写规则编制标准草案，选取典型港口企业试报，并由省交通运输厅推荐申报广东省地方标准。</w:t>
      </w:r>
    </w:p>
    <w:p>
      <w:pPr>
        <w:ind w:firstLine="560"/>
        <w:rPr>
          <w:rFonts w:hint="eastAsia"/>
          <w:lang w:eastAsia="zh-CN"/>
        </w:rPr>
      </w:pPr>
      <w:r>
        <w:rPr>
          <w:rFonts w:hint="eastAsia"/>
          <w:lang w:eastAsia="zh-CN"/>
        </w:rPr>
        <w:t>根据广东省市场监督管理局关于批准下达2021年第二批广东省地方标准制修订计划项目的通知（粤市监标准〔2022〕26 号），本标准于2022年1月纳入广东省地方标准制修订计划项目。课题组结合广东省港口实际，进一步补充完善了港口企业碳排放核算及报告内容，深入调查论证，形成《港口企业碳排放核算及报告规范》（初稿）。</w:t>
      </w:r>
    </w:p>
    <w:p>
      <w:pPr>
        <w:ind w:firstLine="560"/>
        <w:rPr>
          <w:rFonts w:hint="eastAsia"/>
          <w:lang w:val="en-US" w:eastAsia="zh-CN"/>
        </w:rPr>
      </w:pPr>
      <w:r>
        <w:rPr>
          <w:rFonts w:hint="eastAsia"/>
          <w:lang w:val="en-US" w:eastAsia="zh-CN"/>
        </w:rPr>
        <w:t>2023年7月26日，广东省交通运输标准化技术委员会水运工程分会在广州主持召开大纲和初稿审查会，会后标准编制组根据会上专家意见对标准进行修改完善。</w:t>
      </w:r>
    </w:p>
    <w:p>
      <w:pPr>
        <w:pStyle w:val="9"/>
        <w:rPr>
          <w:rFonts w:hint="eastAsia"/>
          <w:lang w:val="en-US" w:eastAsia="zh-CN"/>
        </w:rPr>
      </w:pPr>
    </w:p>
    <w:p>
      <w:pPr>
        <w:pStyle w:val="3"/>
        <w:rPr>
          <w:rFonts w:hint="eastAsia"/>
          <w:lang w:eastAsia="zh-CN"/>
        </w:rPr>
      </w:pPr>
      <w:bookmarkStart w:id="18" w:name="_Toc28576"/>
      <w:bookmarkStart w:id="19" w:name="_Toc18891"/>
      <w:r>
        <w:rPr>
          <w:rFonts w:hint="eastAsia"/>
          <w:lang w:val="en-US" w:eastAsia="zh-CN"/>
        </w:rPr>
        <w:t>4</w:t>
      </w:r>
      <w:r>
        <w:rPr>
          <w:rFonts w:hint="eastAsia"/>
        </w:rPr>
        <w:t>.</w:t>
      </w:r>
      <w:r>
        <w:rPr>
          <w:rFonts w:hint="eastAsia"/>
          <w:lang w:val="en-US" w:eastAsia="zh-CN"/>
        </w:rPr>
        <w:t>2</w:t>
      </w:r>
      <w:r>
        <w:rPr>
          <w:rFonts w:hint="eastAsia"/>
        </w:rPr>
        <w:t xml:space="preserve"> 标准文稿</w:t>
      </w:r>
      <w:r>
        <w:rPr>
          <w:rFonts w:hint="eastAsia"/>
          <w:lang w:val="en-US" w:eastAsia="zh-CN"/>
        </w:rPr>
        <w:t>征求意见</w:t>
      </w:r>
      <w:r>
        <w:rPr>
          <w:rFonts w:hint="eastAsia"/>
        </w:rPr>
        <w:t>情况</w:t>
      </w:r>
      <w:bookmarkEnd w:id="18"/>
      <w:bookmarkEnd w:id="19"/>
    </w:p>
    <w:p>
      <w:pPr>
        <w:ind w:firstLine="560"/>
        <w:rPr>
          <w:rFonts w:hint="default"/>
          <w:b/>
          <w:bCs/>
          <w:lang w:val="en-US"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lang w:val="en-US" w:eastAsia="zh-CN"/>
        </w:rPr>
        <w:t>初稿征求意见情况</w:t>
      </w:r>
    </w:p>
    <w:p>
      <w:pPr>
        <w:ind w:firstLine="560"/>
        <w:rPr>
          <w:rFonts w:hint="eastAsia"/>
          <w:lang w:val="en-US" w:eastAsia="zh-CN"/>
        </w:rPr>
      </w:pPr>
      <w:r>
        <w:rPr>
          <w:rFonts w:hint="eastAsia"/>
          <w:lang w:val="en-US" w:eastAsia="zh-CN"/>
        </w:rPr>
        <w:t>2023年8月3日-23日，广东省交通运输规划研究中心向20家相关港口企业征求意见。共收到6家企业22条意见。根据征求意见情况对《广东省内河港口岸电设施建设技术规范》进行了修改，主要修改内容如下：</w:t>
      </w:r>
    </w:p>
    <w:p>
      <w:pPr>
        <w:ind w:firstLine="560"/>
        <w:rPr>
          <w:rFonts w:hint="eastAsia"/>
          <w:lang w:val="en-US" w:eastAsia="zh-CN"/>
        </w:rPr>
      </w:pPr>
      <w:r>
        <w:rPr>
          <w:rFonts w:hint="eastAsia"/>
          <w:lang w:val="en-US" w:eastAsia="zh-CN"/>
        </w:rPr>
        <w:t>（1）</w:t>
      </w:r>
      <w:r>
        <w:rPr>
          <w:rFonts w:hint="eastAsia" w:ascii="Times New Roman" w:hAnsi="Times New Roman" w:eastAsia="宋体" w:cs="Times New Roman"/>
          <w:kern w:val="2"/>
          <w:sz w:val="28"/>
          <w:szCs w:val="20"/>
          <w:lang w:val="en-US" w:eastAsia="zh-CN" w:bidi="ar-SA"/>
        </w:rPr>
        <w:t>辅助生产直接二氧化碳排放活动加入“环保设施运行、消防设施运行”。</w:t>
      </w:r>
    </w:p>
    <w:p>
      <w:pPr>
        <w:ind w:firstLine="560"/>
        <w:rPr>
          <w:rFonts w:hint="eastAsia"/>
          <w:lang w:val="en-US" w:eastAsia="zh-CN"/>
        </w:rPr>
      </w:pPr>
      <w:r>
        <w:rPr>
          <w:rFonts w:hint="eastAsia"/>
          <w:lang w:val="en-US" w:eastAsia="zh-CN"/>
        </w:rPr>
        <w:t>（2）附属生产直接二氧化碳排放活动加入“洗衣房”。</w:t>
      </w:r>
    </w:p>
    <w:p>
      <w:pPr>
        <w:ind w:firstLine="560"/>
        <w:rPr>
          <w:rFonts w:hint="eastAsia"/>
          <w:lang w:val="en-US" w:eastAsia="zh-CN"/>
        </w:rPr>
      </w:pPr>
      <w:r>
        <w:rPr>
          <w:rFonts w:hint="eastAsia"/>
          <w:lang w:val="en-US" w:eastAsia="zh-CN"/>
        </w:rPr>
        <w:t>（3）“港口企业利用光伏、风能等可再生能源发电供自己使用，企业需对岸电使用量进行报告，……。”改为“港口企业利用光伏、风能等可再生能源发电供自己使用，企业需对可再生能源发电量进行报告，……。”</w:t>
      </w:r>
    </w:p>
    <w:p>
      <w:pPr>
        <w:ind w:firstLine="560"/>
        <w:rPr>
          <w:rFonts w:hint="eastAsia"/>
          <w:lang w:val="en-US" w:eastAsia="zh-CN"/>
        </w:rPr>
      </w:pPr>
      <w:r>
        <w:rPr>
          <w:rFonts w:hint="eastAsia"/>
          <w:lang w:val="en-US" w:eastAsia="zh-CN"/>
        </w:rPr>
        <w:t>（4）“港口企业直接二氧化碳排放量是核算边界内装卸生产和辅助生产消耗的各种化石燃料燃烧产生的二氧化碳排放量之和”改为“港口企业直接二氧化碳排放量是核算边界内装卸生产、辅助生产和附属生产消耗的各种化石燃料燃烧产生的二氧化碳排放量之和”。</w:t>
      </w:r>
    </w:p>
    <w:p>
      <w:pPr>
        <w:ind w:firstLine="560"/>
        <w:rPr>
          <w:rFonts w:hint="eastAsia"/>
          <w:lang w:val="en-US" w:eastAsia="zh-CN"/>
        </w:rPr>
      </w:pPr>
      <w:r>
        <w:rPr>
          <w:rFonts w:hint="eastAsia"/>
          <w:lang w:val="en-US" w:eastAsia="zh-CN"/>
        </w:rPr>
        <w:t>（5）“港口企业外购电力产生的二氧化碳排放量是核算边界内装卸生产和辅助生产消耗外购电力产生的二氧化碳排放量之和”建议改为“港口企业外购电力产生的二氧化碳排放量是核算边界内装卸生产、辅助生产和附属生产消耗外购电力产生的二氧化碳排放量之和”。</w:t>
      </w:r>
    </w:p>
    <w:p>
      <w:pPr>
        <w:ind w:firstLine="560"/>
        <w:rPr>
          <w:rFonts w:hint="eastAsia"/>
          <w:lang w:val="en-US" w:eastAsia="zh-CN"/>
        </w:rPr>
      </w:pPr>
      <w:r>
        <w:rPr>
          <w:rFonts w:hint="eastAsia"/>
          <w:lang w:val="en-US" w:eastAsia="zh-CN"/>
        </w:rPr>
        <w:t>（6）“港口企业外购热力产生的二氧化碳排放量是核算边界内装卸生产和辅助生产消耗外购热力产生的二氧化碳排放量之和”建议改为“港口企业外购热力产生的二氧化碳排放量是核算边界内装卸生产、辅助生产和附属生产消耗外购热力产生的二氧化碳排放量之和”。</w:t>
      </w:r>
    </w:p>
    <w:p>
      <w:pPr>
        <w:ind w:firstLine="560"/>
        <w:rPr>
          <w:rFonts w:hint="eastAsia"/>
          <w:lang w:val="en-US" w:eastAsia="zh-CN"/>
        </w:rPr>
      </w:pPr>
      <w:r>
        <w:rPr>
          <w:rFonts w:hint="eastAsia"/>
          <w:lang w:val="en-US" w:eastAsia="zh-CN"/>
        </w:rPr>
        <w:t>（7）附录A“电力排放因子”“热力排放因子”加上实际报告时，采用最新发布的数据。</w:t>
      </w:r>
    </w:p>
    <w:p>
      <w:pPr>
        <w:ind w:firstLine="560"/>
        <w:rPr>
          <w:rFonts w:hint="eastAsia"/>
          <w:lang w:val="en-US" w:eastAsia="zh-CN"/>
        </w:rPr>
      </w:pPr>
      <w:r>
        <w:rPr>
          <w:rFonts w:hint="eastAsia"/>
          <w:lang w:val="en-US" w:eastAsia="zh-CN"/>
        </w:rPr>
        <w:t>（8）企业组织边界信息“单位吞吐量能耗（吨标准煤/万吨或万TEU）”改为“单位吞吐量能耗（吨标准煤/万吨）”。</w:t>
      </w:r>
    </w:p>
    <w:p>
      <w:pPr>
        <w:ind w:firstLine="560"/>
        <w:rPr>
          <w:rFonts w:hint="eastAsia"/>
          <w:lang w:val="en-US" w:eastAsia="zh-CN"/>
        </w:rPr>
      </w:pPr>
      <w:r>
        <w:rPr>
          <w:rFonts w:hint="eastAsia"/>
          <w:lang w:val="en-US" w:eastAsia="zh-CN"/>
        </w:rPr>
        <w:t>（9）表B.2 “二氧化碳排放量汇总表”改为“二氧化碳排放量化汇总表”。</w:t>
      </w:r>
    </w:p>
    <w:p>
      <w:pPr>
        <w:ind w:firstLine="560"/>
        <w:rPr>
          <w:rFonts w:hint="eastAsia"/>
          <w:lang w:val="en-US" w:eastAsia="zh-CN"/>
        </w:rPr>
      </w:pPr>
    </w:p>
    <w:p>
      <w:pPr>
        <w:ind w:firstLine="560"/>
        <w:rPr>
          <w:rFonts w:hint="eastAsia"/>
          <w:lang w:val="en-US" w:eastAsia="zh-CN"/>
        </w:rPr>
      </w:pPr>
    </w:p>
    <w:p>
      <w:pPr>
        <w:pStyle w:val="35"/>
        <w:rPr>
          <w:rFonts w:hint="eastAsia"/>
          <w:lang w:val="en-US" w:eastAsia="zh-CN"/>
        </w:rPr>
      </w:pPr>
    </w:p>
    <w:p>
      <w:pPr>
        <w:pStyle w:val="35"/>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rFonts w:hint="eastAsia"/>
        </w:rPr>
      </w:pPr>
      <w:bookmarkStart w:id="20" w:name="_Toc22961"/>
      <w:r>
        <w:rPr>
          <w:rFonts w:hint="eastAsia"/>
          <w:lang w:val="en-US" w:eastAsia="zh-CN"/>
        </w:rPr>
        <w:t>4</w:t>
      </w:r>
      <w:r>
        <w:rPr>
          <w:rFonts w:hint="eastAsia"/>
        </w:rPr>
        <w:t>.</w:t>
      </w:r>
      <w:r>
        <w:rPr>
          <w:rFonts w:hint="eastAsia"/>
          <w:lang w:val="en-US" w:eastAsia="zh-CN"/>
        </w:rPr>
        <w:t>3</w:t>
      </w:r>
      <w:r>
        <w:rPr>
          <w:rFonts w:hint="eastAsia"/>
        </w:rPr>
        <w:t xml:space="preserve"> 计划与安排</w:t>
      </w:r>
      <w:bookmarkEnd w:id="20"/>
    </w:p>
    <w:tbl>
      <w:tblPr>
        <w:tblStyle w:val="38"/>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96"/>
        <w:gridCol w:w="1575"/>
        <w:gridCol w:w="3466"/>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序号</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审查阶段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计划时间</w:t>
            </w:r>
          </w:p>
        </w:tc>
        <w:tc>
          <w:tcPr>
            <w:tcW w:w="346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工作内容</w:t>
            </w:r>
          </w:p>
        </w:tc>
        <w:tc>
          <w:tcPr>
            <w:tcW w:w="122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大纲及</w:t>
            </w:r>
            <w:r>
              <w:rPr>
                <w:rFonts w:hint="default" w:ascii="Times New Roman" w:hAnsi="Times New Roman" w:eastAsia="宋体" w:cs="Times New Roman"/>
                <w:sz w:val="24"/>
                <w:szCs w:val="24"/>
                <w:lang w:val="en-US" w:eastAsia="zh-CN"/>
              </w:rPr>
              <w:t>初稿阶段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2023年7</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3</w:t>
            </w:r>
            <w:r>
              <w:rPr>
                <w:rFonts w:hint="eastAsia" w:ascii="Times New Roman" w:hAnsi="Times New Roman" w:eastAsia="宋体" w:cs="Times New Roman"/>
                <w:sz w:val="24"/>
                <w:szCs w:val="24"/>
                <w:lang w:val="en-US" w:eastAsia="zh-CN"/>
              </w:rPr>
              <w:t>-</w:t>
            </w:r>
            <w:r>
              <w:rPr>
                <w:rFonts w:hint="eastAsia" w:cs="Times New Roman"/>
                <w:sz w:val="24"/>
                <w:szCs w:val="24"/>
                <w:lang w:val="en-US" w:eastAsia="zh-CN"/>
              </w:rPr>
              <w:t>8月2</w:t>
            </w:r>
            <w:r>
              <w:rPr>
                <w:rFonts w:hint="eastAsia" w:ascii="Times New Roman" w:hAnsi="Times New Roman" w:eastAsia="宋体" w:cs="Times New Roman"/>
                <w:sz w:val="24"/>
                <w:szCs w:val="24"/>
                <w:lang w:val="en-US" w:eastAsia="zh-CN"/>
              </w:rPr>
              <w:t>日</w:t>
            </w:r>
          </w:p>
        </w:tc>
        <w:tc>
          <w:tcPr>
            <w:tcW w:w="3466"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（1）呈报标委会分会审核大纲及初稿</w:t>
            </w:r>
          </w:p>
          <w:p>
            <w:pPr>
              <w:keepNext w:val="0"/>
              <w:keepLines w:val="0"/>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（2）召开大纲及初稿审查会</w:t>
            </w:r>
          </w:p>
          <w:p>
            <w:pPr>
              <w:keepNext w:val="0"/>
              <w:keepLines w:val="0"/>
              <w:suppressLineNumbers w:val="0"/>
              <w:spacing w:before="0" w:beforeAutospacing="0" w:after="0" w:afterAutospacing="0" w:line="240" w:lineRule="auto"/>
              <w:ind w:left="0" w:right="0" w:firstLine="0" w:firstLineChars="0"/>
              <w:jc w:val="left"/>
              <w:rPr>
                <w:rFonts w:hint="default"/>
                <w:lang w:val="en-US" w:eastAsia="zh-CN"/>
              </w:rPr>
            </w:pPr>
            <w:r>
              <w:rPr>
                <w:rFonts w:hint="eastAsia" w:ascii="Times New Roman" w:hAnsi="Times New Roman" w:eastAsia="宋体" w:cs="Times New Roman"/>
                <w:sz w:val="24"/>
                <w:szCs w:val="24"/>
                <w:lang w:val="en-US" w:eastAsia="zh-CN"/>
              </w:rPr>
              <w:t>（3）根据专家意见修改完善标准初稿。</w:t>
            </w:r>
          </w:p>
        </w:tc>
        <w:tc>
          <w:tcPr>
            <w:tcW w:w="1225"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cs="Times New Roman"/>
                <w:sz w:val="24"/>
                <w:szCs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初稿征求意见阶段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2023年8</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3</w:t>
            </w:r>
            <w:r>
              <w:rPr>
                <w:rFonts w:hint="eastAsia" w:ascii="Times New Roman" w:hAnsi="Times New Roman" w:eastAsia="宋体" w:cs="Times New Roman"/>
                <w:sz w:val="24"/>
                <w:szCs w:val="24"/>
                <w:lang w:val="en-US" w:eastAsia="zh-CN"/>
              </w:rPr>
              <w:t>日-</w:t>
            </w:r>
            <w:r>
              <w:rPr>
                <w:rFonts w:hint="eastAsia" w:cs="Times New Roman"/>
                <w:sz w:val="24"/>
                <w:szCs w:val="24"/>
                <w:lang w:val="en-US" w:eastAsia="zh-CN"/>
              </w:rPr>
              <w:t>9</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13</w:t>
            </w:r>
            <w:r>
              <w:rPr>
                <w:rFonts w:hint="eastAsia" w:ascii="Times New Roman" w:hAnsi="Times New Roman" w:eastAsia="宋体" w:cs="Times New Roman"/>
                <w:sz w:val="24"/>
                <w:szCs w:val="24"/>
                <w:lang w:val="en-US" w:eastAsia="zh-CN"/>
              </w:rPr>
              <w:t>日</w:t>
            </w:r>
          </w:p>
        </w:tc>
        <w:tc>
          <w:tcPr>
            <w:tcW w:w="3466"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（1）初稿征求意见，单位不少于10家，时间2周</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（2）根据征求意见反馈情况修改完善，形成标准征求意见稿，并报标委会分会。</w:t>
            </w:r>
          </w:p>
        </w:tc>
        <w:tc>
          <w:tcPr>
            <w:tcW w:w="1225"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cs="Times New Roman"/>
                <w:sz w:val="24"/>
                <w:szCs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送审</w:t>
            </w:r>
            <w:r>
              <w:rPr>
                <w:rFonts w:hint="default" w:ascii="Times New Roman" w:hAnsi="Times New Roman" w:eastAsia="宋体" w:cs="Times New Roman"/>
                <w:sz w:val="24"/>
                <w:szCs w:val="24"/>
                <w:lang w:val="en-US" w:eastAsia="zh-CN"/>
              </w:rPr>
              <w:t>稿征求意见阶段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2023年9</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14</w:t>
            </w:r>
            <w:r>
              <w:rPr>
                <w:rFonts w:hint="eastAsia" w:ascii="Times New Roman" w:hAnsi="Times New Roman" w:eastAsia="宋体" w:cs="Times New Roman"/>
                <w:sz w:val="24"/>
                <w:szCs w:val="24"/>
                <w:lang w:val="en-US" w:eastAsia="zh-CN"/>
              </w:rPr>
              <w:t>日-</w:t>
            </w:r>
            <w:r>
              <w:rPr>
                <w:rFonts w:hint="eastAsia" w:cs="Times New Roman"/>
                <w:sz w:val="24"/>
                <w:szCs w:val="24"/>
                <w:lang w:val="en-US" w:eastAsia="zh-CN"/>
              </w:rPr>
              <w:t>2023年11</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22</w:t>
            </w:r>
            <w:r>
              <w:rPr>
                <w:rFonts w:hint="eastAsia" w:ascii="Times New Roman" w:hAnsi="Times New Roman" w:eastAsia="宋体" w:cs="Times New Roman"/>
                <w:sz w:val="24"/>
                <w:szCs w:val="24"/>
                <w:lang w:val="en-US" w:eastAsia="zh-CN"/>
              </w:rPr>
              <w:t>日</w:t>
            </w:r>
          </w:p>
        </w:tc>
        <w:tc>
          <w:tcPr>
            <w:tcW w:w="3466"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（1）标委会分审核报送的标准征求意见稿文件</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（2）征求意见稿由标委会征求意见，单位不少于10家，时间1个月</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（3）根据征求意见稿反馈意见，修改完善标准文本，形成标准送审稿，并报标委会分会。</w:t>
            </w:r>
          </w:p>
        </w:tc>
        <w:tc>
          <w:tcPr>
            <w:tcW w:w="1225" w:type="dxa"/>
            <w:vAlign w:val="center"/>
          </w:tcPr>
          <w:p>
            <w:pPr>
              <w:keepNext w:val="0"/>
              <w:keepLines w:val="0"/>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sz w:val="24"/>
                <w:szCs w:val="24"/>
                <w:lang w:val="en-US" w:eastAsia="zh-CN"/>
              </w:rPr>
            </w:pPr>
            <w:r>
              <w:rPr>
                <w:rFonts w:hint="eastAsia" w:cs="Times New Roman"/>
                <w:sz w:val="24"/>
                <w:szCs w:val="24"/>
                <w:lang w:val="en-US" w:eastAsia="zh-CN"/>
              </w:rPr>
              <w:t>正在开展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送审稿</w:t>
            </w:r>
            <w:r>
              <w:rPr>
                <w:rFonts w:hint="eastAsia" w:cs="Times New Roman"/>
                <w:sz w:val="24"/>
                <w:szCs w:val="24"/>
                <w:lang w:val="en-US" w:eastAsia="zh-CN"/>
              </w:rPr>
              <w:t>审查</w:t>
            </w:r>
            <w:r>
              <w:rPr>
                <w:rFonts w:hint="default" w:ascii="Times New Roman" w:hAnsi="Times New Roman" w:eastAsia="宋体" w:cs="Times New Roman"/>
                <w:sz w:val="24"/>
                <w:szCs w:val="24"/>
                <w:lang w:val="en-US" w:eastAsia="zh-CN"/>
              </w:rPr>
              <w:t>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2023年11</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23</w:t>
            </w:r>
            <w:r>
              <w:rPr>
                <w:rFonts w:hint="eastAsia" w:ascii="Times New Roman" w:hAnsi="Times New Roman" w:eastAsia="宋体" w:cs="Times New Roman"/>
                <w:sz w:val="24"/>
                <w:szCs w:val="24"/>
                <w:lang w:val="en-US" w:eastAsia="zh-CN"/>
              </w:rPr>
              <w:t>日-</w:t>
            </w:r>
            <w:r>
              <w:rPr>
                <w:rFonts w:hint="eastAsia" w:cs="Times New Roman"/>
                <w:sz w:val="24"/>
                <w:szCs w:val="24"/>
                <w:lang w:val="en-US" w:eastAsia="zh-CN"/>
              </w:rPr>
              <w:t>11</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30</w:t>
            </w:r>
            <w:r>
              <w:rPr>
                <w:rFonts w:hint="eastAsia" w:ascii="Times New Roman" w:hAnsi="Times New Roman" w:eastAsia="宋体" w:cs="Times New Roman"/>
                <w:sz w:val="24"/>
                <w:szCs w:val="24"/>
                <w:lang w:val="en-US" w:eastAsia="zh-CN"/>
              </w:rPr>
              <w:t>日</w:t>
            </w:r>
          </w:p>
        </w:tc>
        <w:tc>
          <w:tcPr>
            <w:tcW w:w="3466" w:type="dxa"/>
            <w:vAlign w:val="center"/>
          </w:tcPr>
          <w:p>
            <w:pPr>
              <w:keepNext w:val="0"/>
              <w:keepLines w:val="0"/>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（1）标委会分审核报送的标准送审稿文件</w:t>
            </w:r>
          </w:p>
          <w:p>
            <w:pPr>
              <w:keepNext w:val="0"/>
              <w:keepLines w:val="0"/>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（2）标委会分会组织召开送审稿审查会</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（3）根据送审稿审查会专家和代表意见，对送审稿进行修改完善，形成标准总校稿。</w:t>
            </w:r>
          </w:p>
        </w:tc>
        <w:tc>
          <w:tcPr>
            <w:tcW w:w="1225" w:type="dxa"/>
            <w:vAlign w:val="center"/>
          </w:tcPr>
          <w:p>
            <w:pPr>
              <w:keepNext w:val="0"/>
              <w:keepLines w:val="0"/>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总校阶段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2023年12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1日</w:t>
            </w:r>
            <w:r>
              <w:rPr>
                <w:rFonts w:hint="eastAsia" w:ascii="Times New Roman" w:hAnsi="Times New Roman" w:eastAsia="宋体" w:cs="Times New Roman"/>
                <w:sz w:val="24"/>
                <w:szCs w:val="24"/>
                <w:lang w:val="en-US" w:eastAsia="zh-CN"/>
              </w:rPr>
              <w:t>-</w:t>
            </w:r>
            <w:r>
              <w:rPr>
                <w:rFonts w:hint="eastAsia" w:cs="Times New Roman"/>
                <w:sz w:val="24"/>
                <w:szCs w:val="24"/>
                <w:lang w:val="en-US" w:eastAsia="zh-CN"/>
              </w:rPr>
              <w:t>12月10</w:t>
            </w:r>
            <w:r>
              <w:rPr>
                <w:rFonts w:hint="eastAsia" w:ascii="Times New Roman" w:hAnsi="Times New Roman" w:eastAsia="宋体" w:cs="Times New Roman"/>
                <w:sz w:val="24"/>
                <w:szCs w:val="24"/>
                <w:lang w:val="en-US" w:eastAsia="zh-CN"/>
              </w:rPr>
              <w:t>日</w:t>
            </w:r>
          </w:p>
        </w:tc>
        <w:tc>
          <w:tcPr>
            <w:tcW w:w="3466" w:type="dxa"/>
            <w:vAlign w:val="center"/>
          </w:tcPr>
          <w:p>
            <w:pPr>
              <w:keepNext w:val="0"/>
              <w:keepLines w:val="0"/>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（1）召开标准总校稿总校会</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（2）根据总校会讨论意见，修改完善总校稿，形成报批稿，并将报批文件报标委会分会。</w:t>
            </w:r>
          </w:p>
        </w:tc>
        <w:tc>
          <w:tcPr>
            <w:tcW w:w="1225" w:type="dxa"/>
            <w:vAlign w:val="center"/>
          </w:tcPr>
          <w:p>
            <w:pPr>
              <w:keepNext w:val="0"/>
              <w:keepLines w:val="0"/>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p>
        </w:tc>
        <w:tc>
          <w:tcPr>
            <w:tcW w:w="1596"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报批阶段</w:t>
            </w:r>
          </w:p>
        </w:tc>
        <w:tc>
          <w:tcPr>
            <w:tcW w:w="1575"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2023年12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11</w:t>
            </w:r>
            <w:r>
              <w:rPr>
                <w:rFonts w:hint="eastAsia" w:ascii="Times New Roman" w:hAnsi="Times New Roman" w:eastAsia="宋体" w:cs="Times New Roman"/>
                <w:sz w:val="24"/>
                <w:szCs w:val="24"/>
                <w:lang w:val="en-US" w:eastAsia="zh-CN"/>
              </w:rPr>
              <w:t>日</w:t>
            </w:r>
            <w:r>
              <w:rPr>
                <w:rFonts w:hint="eastAsia" w:cs="Times New Roman"/>
                <w:sz w:val="24"/>
                <w:szCs w:val="24"/>
                <w:lang w:val="en-US" w:eastAsia="zh-CN"/>
              </w:rPr>
              <w:t>开始</w:t>
            </w:r>
          </w:p>
        </w:tc>
        <w:tc>
          <w:tcPr>
            <w:tcW w:w="3466" w:type="dxa"/>
            <w:vAlign w:val="center"/>
          </w:tcPr>
          <w:p>
            <w:pPr>
              <w:keepNext w:val="0"/>
              <w:keepLines w:val="0"/>
              <w:numPr>
                <w:ilvl w:val="0"/>
                <w:numId w:val="4"/>
              </w:numPr>
              <w:suppressLineNumbers w:val="0"/>
              <w:spacing w:before="0" w:beforeAutospacing="0" w:after="0" w:afterAutospacing="0" w:line="240" w:lineRule="auto"/>
              <w:ind w:left="0" w:right="0" w:firstLine="0" w:firstLineChars="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标委会分会、标委会（秘书处）、管委会（办公室）对标准报批文件进行审核，审核通过后，报省市场监督管理局</w:t>
            </w:r>
          </w:p>
          <w:p>
            <w:pPr>
              <w:keepNext w:val="0"/>
              <w:keepLines w:val="0"/>
              <w:numPr>
                <w:ilvl w:val="0"/>
                <w:numId w:val="4"/>
              </w:numPr>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省市场监督管理局对管委会（办公室）报送的报批文件进行审核。</w:t>
            </w:r>
          </w:p>
        </w:tc>
        <w:tc>
          <w:tcPr>
            <w:tcW w:w="1225" w:type="dxa"/>
            <w:vAlign w:val="center"/>
          </w:tcPr>
          <w:p>
            <w:pPr>
              <w:keepNext w:val="0"/>
              <w:keepLines w:val="0"/>
              <w:numPr>
                <w:ilvl w:val="0"/>
                <w:numId w:val="0"/>
              </w:numPr>
              <w:suppressLineNumbers w:val="0"/>
              <w:spacing w:before="0" w:beforeAutospacing="0" w:after="0" w:afterAutospacing="0" w:line="240" w:lineRule="auto"/>
              <w:ind w:left="0" w:leftChars="0" w:right="0" w:rightChars="0"/>
              <w:jc w:val="left"/>
              <w:rPr>
                <w:rFonts w:hint="eastAsia" w:ascii="Times New Roman" w:hAnsi="Times New Roman" w:eastAsia="宋体" w:cs="Times New Roman"/>
                <w:sz w:val="24"/>
                <w:szCs w:val="24"/>
                <w:lang w:val="en-US" w:eastAsia="zh-CN"/>
              </w:rPr>
            </w:pPr>
          </w:p>
        </w:tc>
      </w:tr>
    </w:tbl>
    <w:p>
      <w:pPr>
        <w:rPr>
          <w:rFonts w:hint="eastAsia" w:eastAsia="宋体"/>
          <w:lang w:val="en-US" w:eastAsia="zh-CN"/>
        </w:rPr>
      </w:pPr>
    </w:p>
    <w:p>
      <w:pPr>
        <w:pStyle w:val="2"/>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rPr>
          <w:rFonts w:hint="default" w:eastAsia="宋体"/>
          <w:lang w:val="en-US" w:eastAsia="zh-CN"/>
        </w:rPr>
      </w:pPr>
      <w:bookmarkStart w:id="21" w:name="_Toc3806"/>
      <w:r>
        <w:rPr>
          <w:rFonts w:hint="eastAsia"/>
          <w:lang w:eastAsia="zh-CN"/>
        </w:rPr>
        <w:t>第</w:t>
      </w:r>
      <w:r>
        <w:rPr>
          <w:rFonts w:hint="eastAsia"/>
          <w:lang w:val="en-US" w:eastAsia="zh-CN"/>
        </w:rPr>
        <w:t>5</w:t>
      </w:r>
      <w:r>
        <w:rPr>
          <w:rFonts w:hint="eastAsia"/>
          <w:lang w:eastAsia="zh-CN"/>
        </w:rPr>
        <w:t>章</w:t>
      </w:r>
      <w:r>
        <w:rPr>
          <w:rFonts w:hint="eastAsia"/>
          <w:lang w:val="en-US" w:eastAsia="zh-CN"/>
        </w:rPr>
        <w:t xml:space="preserve"> 标准的主要内容说明</w:t>
      </w:r>
      <w:bookmarkEnd w:id="21"/>
    </w:p>
    <w:p>
      <w:pPr>
        <w:ind w:firstLine="560"/>
        <w:rPr>
          <w:rFonts w:hint="eastAsia"/>
        </w:rPr>
      </w:pPr>
      <w:r>
        <w:rPr>
          <w:rFonts w:hint="eastAsia"/>
        </w:rPr>
        <w:t>《港口企业碳排放核算及报告规范》共</w:t>
      </w:r>
      <w:r>
        <w:rPr>
          <w:rFonts w:hint="eastAsia"/>
          <w:lang w:val="en-US" w:eastAsia="zh-CN"/>
        </w:rPr>
        <w:t>7</w:t>
      </w:r>
      <w:r>
        <w:rPr>
          <w:rFonts w:hint="eastAsia"/>
        </w:rPr>
        <w:t>章，主要包括适用范围、规范性引用文件、</w:t>
      </w:r>
      <w:r>
        <w:rPr>
          <w:rFonts w:hint="eastAsia"/>
          <w:lang w:val="en-US" w:eastAsia="zh-CN"/>
        </w:rPr>
        <w:t>术语和定义、核算及报告范围</w:t>
      </w:r>
      <w:r>
        <w:rPr>
          <w:rFonts w:hint="eastAsia"/>
        </w:rPr>
        <w:t>、</w:t>
      </w:r>
      <w:r>
        <w:rPr>
          <w:rFonts w:hint="eastAsia"/>
          <w:lang w:val="en-US" w:eastAsia="zh-CN"/>
        </w:rPr>
        <w:t>核算方法</w:t>
      </w:r>
      <w:r>
        <w:rPr>
          <w:rFonts w:hint="eastAsia"/>
        </w:rPr>
        <w:t>、</w:t>
      </w:r>
      <w:r>
        <w:rPr>
          <w:rFonts w:hint="eastAsia"/>
          <w:lang w:val="en-US" w:eastAsia="zh-CN"/>
        </w:rPr>
        <w:t>数据质量管理</w:t>
      </w:r>
      <w:r>
        <w:rPr>
          <w:rFonts w:hint="eastAsia"/>
          <w:lang w:eastAsia="zh-CN"/>
        </w:rPr>
        <w:t>、</w:t>
      </w:r>
      <w:r>
        <w:rPr>
          <w:rFonts w:hint="eastAsia"/>
          <w:lang w:val="en-US" w:eastAsia="zh-CN"/>
        </w:rPr>
        <w:t>二氧化碳排放报告</w:t>
      </w:r>
      <w:r>
        <w:rPr>
          <w:rFonts w:hint="eastAsia"/>
        </w:rPr>
        <w:t>等内容。</w:t>
      </w:r>
    </w:p>
    <w:p>
      <w:pPr>
        <w:pStyle w:val="179"/>
        <w:spacing w:before="312" w:after="312"/>
        <w:ind w:left="0"/>
        <w:rPr>
          <w:szCs w:val="21"/>
        </w:rPr>
      </w:pPr>
      <w:bookmarkStart w:id="22" w:name="_Toc17319"/>
      <w:bookmarkStart w:id="23" w:name="_Toc2426"/>
      <w:bookmarkStart w:id="24" w:name="_Toc24228"/>
      <w:bookmarkStart w:id="25" w:name="_Toc16634"/>
      <w:bookmarkStart w:id="26" w:name="_Toc3105"/>
      <w:bookmarkStart w:id="27" w:name="_Toc9447"/>
      <w:r>
        <w:rPr>
          <w:rFonts w:hint="eastAsia"/>
          <w:szCs w:val="21"/>
        </w:rPr>
        <w:t>范围</w:t>
      </w:r>
      <w:bookmarkEnd w:id="22"/>
      <w:bookmarkEnd w:id="23"/>
      <w:bookmarkEnd w:id="24"/>
      <w:bookmarkEnd w:id="25"/>
      <w:bookmarkEnd w:id="26"/>
      <w:bookmarkEnd w:id="27"/>
    </w:p>
    <w:p>
      <w:pPr>
        <w:pStyle w:val="179"/>
        <w:spacing w:before="312" w:after="312"/>
        <w:ind w:left="0"/>
        <w:rPr>
          <w:szCs w:val="21"/>
        </w:rPr>
      </w:pPr>
      <w:bookmarkStart w:id="28" w:name="_Toc468478641"/>
      <w:bookmarkStart w:id="29" w:name="_Toc469085620"/>
      <w:bookmarkStart w:id="30" w:name="_Toc468303779"/>
      <w:bookmarkStart w:id="31" w:name="_Toc469246386"/>
      <w:bookmarkStart w:id="32" w:name="_Toc489909991"/>
      <w:bookmarkStart w:id="33" w:name="_Toc466235202"/>
      <w:bookmarkStart w:id="34" w:name="_Toc460009354"/>
      <w:bookmarkStart w:id="35" w:name="_Toc27459"/>
      <w:bookmarkStart w:id="36" w:name="_Toc32441"/>
      <w:bookmarkStart w:id="37" w:name="_Toc29439"/>
      <w:bookmarkStart w:id="38" w:name="_Toc460012353"/>
      <w:bookmarkStart w:id="39" w:name="_Toc457755113"/>
      <w:bookmarkStart w:id="40" w:name="_Toc25462"/>
      <w:bookmarkStart w:id="41" w:name="_Toc448777207"/>
      <w:bookmarkStart w:id="42" w:name="_Toc450050491"/>
      <w:bookmarkStart w:id="43" w:name="_Toc456100379"/>
      <w:bookmarkStart w:id="44" w:name="_Toc19826"/>
      <w:bookmarkStart w:id="45" w:name="_Toc449825946"/>
      <w:bookmarkStart w:id="46" w:name="_Toc455669877"/>
      <w:bookmarkStart w:id="47" w:name="_Toc465623608"/>
      <w:bookmarkStart w:id="48" w:name="_Toc460146456"/>
      <w:bookmarkStart w:id="49" w:name="_Toc14361"/>
      <w:bookmarkStart w:id="50" w:name="_Toc29835"/>
      <w:bookmarkStart w:id="51" w:name="_Toc465503444"/>
      <w:bookmarkStart w:id="52" w:name="_Toc469247424"/>
      <w:bookmarkStart w:id="53" w:name="_Toc465503552"/>
      <w:bookmarkStart w:id="54" w:name="_Toc455255979"/>
      <w:bookmarkStart w:id="55" w:name="_Toc457753524"/>
      <w:bookmarkStart w:id="56" w:name="_Toc9341300"/>
      <w:bookmarkStart w:id="57" w:name="_Toc21261"/>
      <w:bookmarkStart w:id="58" w:name="_Toc455567019"/>
      <w:bookmarkStart w:id="59" w:name="_Toc456099342"/>
      <w:bookmarkStart w:id="60" w:name="_Toc455256046"/>
      <w:bookmarkStart w:id="61" w:name="_Toc469085676"/>
      <w:bookmarkStart w:id="62" w:name="_Toc5033"/>
      <w:bookmarkStart w:id="63" w:name="_Toc4881"/>
      <w:bookmarkStart w:id="64" w:name="_Toc465623572"/>
      <w:bookmarkStart w:id="65" w:name="_Toc450050440"/>
      <w:bookmarkStart w:id="66" w:name="_Toc465503470"/>
      <w:r>
        <w:rPr>
          <w:rFonts w:hint="eastAsia"/>
          <w:szCs w:val="21"/>
        </w:rPr>
        <w:t>规范性引用文件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pStyle w:val="179"/>
        <w:spacing w:before="312" w:after="312"/>
        <w:ind w:left="0"/>
      </w:pPr>
      <w:bookmarkStart w:id="67" w:name="_Toc29455"/>
      <w:bookmarkStart w:id="68" w:name="_Toc1287"/>
      <w:bookmarkStart w:id="69" w:name="_Toc31338"/>
      <w:bookmarkStart w:id="70" w:name="_Toc1342"/>
      <w:bookmarkStart w:id="71" w:name="_Toc2490"/>
      <w:r>
        <w:rPr>
          <w:rFonts w:hint="eastAsia"/>
          <w:lang w:val="en-US" w:eastAsia="zh-CN"/>
        </w:rPr>
        <w:t>术语和定义</w:t>
      </w:r>
      <w:bookmarkEnd w:id="67"/>
      <w:bookmarkEnd w:id="68"/>
      <w:bookmarkEnd w:id="69"/>
      <w:bookmarkEnd w:id="70"/>
      <w:bookmarkEnd w:id="71"/>
    </w:p>
    <w:p>
      <w:pPr>
        <w:pStyle w:val="179"/>
        <w:spacing w:before="312" w:after="312"/>
        <w:ind w:left="0"/>
        <w:rPr>
          <w:szCs w:val="21"/>
        </w:rPr>
      </w:pPr>
      <w:bookmarkStart w:id="72" w:name="_Toc21065"/>
      <w:bookmarkStart w:id="73" w:name="_Toc29103"/>
      <w:r>
        <w:rPr>
          <w:rFonts w:hint="eastAsia"/>
          <w:lang w:val="en-US" w:eastAsia="zh-CN"/>
        </w:rPr>
        <w:t>核算及报告范围</w:t>
      </w:r>
      <w:bookmarkEnd w:id="72"/>
      <w:bookmarkEnd w:id="73"/>
    </w:p>
    <w:p>
      <w:pPr>
        <w:pStyle w:val="176"/>
      </w:pPr>
      <w:r>
        <w:rPr>
          <w:rFonts w:hint="eastAsia"/>
        </w:rPr>
        <w:t>企业组织边界识别</w:t>
      </w:r>
    </w:p>
    <w:p>
      <w:pPr>
        <w:pStyle w:val="176"/>
        <w:rPr>
          <w:rFonts w:hint="eastAsia"/>
        </w:rPr>
      </w:pPr>
      <w:r>
        <w:rPr>
          <w:rFonts w:hint="eastAsia"/>
        </w:rPr>
        <w:t>报告年份</w:t>
      </w:r>
    </w:p>
    <w:p>
      <w:pPr>
        <w:pStyle w:val="176"/>
        <w:rPr>
          <w:rFonts w:hint="eastAsia"/>
        </w:rPr>
      </w:pPr>
      <w:r>
        <w:rPr>
          <w:rFonts w:hint="eastAsia"/>
        </w:rPr>
        <w:t>二氧化碳排放活动识别</w:t>
      </w:r>
    </w:p>
    <w:p>
      <w:pPr>
        <w:pStyle w:val="179"/>
        <w:rPr>
          <w:rFonts w:hint="eastAsia"/>
          <w:lang w:val="en-US" w:eastAsia="zh-CN"/>
        </w:rPr>
      </w:pPr>
      <w:bookmarkStart w:id="74" w:name="_Toc14248"/>
      <w:bookmarkStart w:id="75" w:name="_Toc11922"/>
      <w:r>
        <w:rPr>
          <w:rFonts w:hint="eastAsia"/>
          <w:lang w:val="en-US" w:eastAsia="zh-CN"/>
        </w:rPr>
        <w:t>核算方法</w:t>
      </w:r>
      <w:bookmarkEnd w:id="74"/>
      <w:bookmarkEnd w:id="75"/>
    </w:p>
    <w:p>
      <w:pPr>
        <w:pStyle w:val="176"/>
        <w:rPr>
          <w:rFonts w:hint="eastAsia"/>
          <w:lang w:val="en-US" w:eastAsia="zh-CN"/>
        </w:rPr>
      </w:pPr>
      <w:r>
        <w:rPr>
          <w:rFonts w:hint="eastAsia" w:ascii="Times New Roman" w:cs="Times New Roman"/>
          <w:lang w:val="en-US" w:eastAsia="zh-CN"/>
        </w:rPr>
        <w:t>排放总量</w:t>
      </w:r>
    </w:p>
    <w:p>
      <w:pPr>
        <w:pStyle w:val="176"/>
        <w:rPr>
          <w:rFonts w:hint="eastAsia"/>
          <w:lang w:val="en-US" w:eastAsia="zh-CN"/>
        </w:rPr>
      </w:pPr>
      <w:r>
        <w:rPr>
          <w:rFonts w:hint="eastAsia" w:ascii="Times New Roman" w:cs="Times New Roman"/>
          <w:lang w:val="en-US" w:eastAsia="zh-CN"/>
        </w:rPr>
        <w:t>直接二氧化碳排放</w:t>
      </w:r>
    </w:p>
    <w:p>
      <w:pPr>
        <w:pStyle w:val="176"/>
        <w:rPr>
          <w:rFonts w:hint="eastAsia"/>
          <w:lang w:val="en-US" w:eastAsia="zh-CN"/>
        </w:rPr>
      </w:pPr>
      <w:r>
        <w:rPr>
          <w:rFonts w:hint="eastAsia" w:ascii="Times New Roman" w:cs="Times New Roman"/>
          <w:lang w:val="en-US" w:eastAsia="zh-CN"/>
        </w:rPr>
        <w:t>间接二氧化碳排放</w:t>
      </w:r>
    </w:p>
    <w:p>
      <w:pPr>
        <w:pStyle w:val="176"/>
        <w:rPr>
          <w:rFonts w:hint="eastAsia"/>
          <w:lang w:val="en-US" w:eastAsia="zh-CN"/>
        </w:rPr>
      </w:pPr>
      <w:r>
        <w:rPr>
          <w:rFonts w:hint="eastAsia" w:ascii="Times New Roman" w:cs="Times New Roman"/>
          <w:lang w:val="en-US" w:eastAsia="zh-CN"/>
        </w:rPr>
        <w:t>数据来源</w:t>
      </w:r>
    </w:p>
    <w:p>
      <w:pPr>
        <w:pStyle w:val="179"/>
        <w:rPr>
          <w:rFonts w:hint="eastAsia"/>
          <w:lang w:val="en-US" w:eastAsia="zh-CN"/>
        </w:rPr>
      </w:pPr>
      <w:bookmarkStart w:id="76" w:name="_Toc30778"/>
      <w:bookmarkStart w:id="77" w:name="_Toc31751"/>
      <w:r>
        <w:rPr>
          <w:rFonts w:hint="eastAsia"/>
          <w:lang w:val="en-US" w:eastAsia="zh-CN"/>
        </w:rPr>
        <w:t>数据质量管理</w:t>
      </w:r>
      <w:bookmarkEnd w:id="76"/>
      <w:bookmarkEnd w:id="77"/>
    </w:p>
    <w:p>
      <w:pPr>
        <w:pStyle w:val="179"/>
      </w:pPr>
      <w:bookmarkStart w:id="78" w:name="_Toc17790"/>
      <w:bookmarkStart w:id="79" w:name="_Toc32163"/>
      <w:r>
        <w:rPr>
          <w:rFonts w:hint="eastAsia"/>
          <w:lang w:val="en-US" w:eastAsia="zh-CN"/>
        </w:rPr>
        <w:t>二氧化碳排放报告</w:t>
      </w:r>
      <w:bookmarkEnd w:id="78"/>
      <w:bookmarkEnd w:id="79"/>
    </w:p>
    <w:p>
      <w:pPr>
        <w:pStyle w:val="179"/>
        <w:numPr>
          <w:ilvl w:val="0"/>
          <w:numId w:val="0"/>
        </w:numPr>
        <w:ind w:leftChars="0"/>
        <w:rPr>
          <w:szCs w:val="22"/>
        </w:rPr>
      </w:pPr>
      <w:bookmarkStart w:id="80" w:name="_Toc7532"/>
      <w:bookmarkStart w:id="81" w:name="_Toc28813"/>
      <w:bookmarkStart w:id="82" w:name="_Toc7151"/>
      <w:bookmarkStart w:id="83" w:name="_Toc12226"/>
      <w:bookmarkStart w:id="84" w:name="_Toc18455"/>
      <w:r>
        <w:rPr>
          <w:rFonts w:hint="eastAsia"/>
          <w:szCs w:val="22"/>
          <w:lang w:eastAsia="zh-CN"/>
        </w:rPr>
        <w:fldChar w:fldCharType="begin"/>
      </w:r>
      <w:r>
        <w:rPr>
          <w:rFonts w:hint="eastAsia"/>
          <w:szCs w:val="22"/>
          <w:lang w:eastAsia="zh-CN"/>
        </w:rPr>
        <w:instrText xml:space="preserve"> HYPERLINK \l _Toc27009 </w:instrText>
      </w:r>
      <w:r>
        <w:rPr>
          <w:rFonts w:hint="eastAsia"/>
          <w:szCs w:val="22"/>
          <w:lang w:eastAsia="zh-CN"/>
        </w:rPr>
        <w:fldChar w:fldCharType="separate"/>
      </w:r>
      <w:r>
        <w:rPr>
          <w:rFonts w:hint="eastAsia"/>
          <w:szCs w:val="22"/>
        </w:rPr>
        <w:t>附录A</w:t>
      </w:r>
      <w:r>
        <w:rPr>
          <w:rFonts w:hint="eastAsia"/>
          <w:szCs w:val="22"/>
          <w:lang w:eastAsia="zh-CN"/>
        </w:rPr>
        <w:t>　</w:t>
      </w:r>
      <w:r>
        <w:rPr>
          <w:rFonts w:hint="eastAsia"/>
          <w:szCs w:val="22"/>
        </w:rPr>
        <w:t>（资料性）</w:t>
      </w:r>
      <w:r>
        <w:rPr>
          <w:rFonts w:hint="eastAsia"/>
          <w:szCs w:val="22"/>
          <w:lang w:eastAsia="zh-CN"/>
        </w:rPr>
        <w:t>　</w:t>
      </w:r>
      <w:r>
        <w:rPr>
          <w:rFonts w:hint="default" w:ascii="Times New Roman" w:hAnsi="Times New Roman" w:cs="Times New Roman"/>
          <w:highlight w:val="none"/>
          <w:lang w:val="en-US" w:eastAsia="zh-CN"/>
        </w:rPr>
        <w:t>直接排放与间接排放的排放因子参考值</w:t>
      </w:r>
      <w:r>
        <w:rPr>
          <w:szCs w:val="22"/>
        </w:rPr>
        <w:tab/>
      </w:r>
      <w:r>
        <w:rPr>
          <w:rFonts w:hint="eastAsia"/>
          <w:szCs w:val="22"/>
          <w:lang w:eastAsia="zh-CN"/>
        </w:rPr>
        <w:fldChar w:fldCharType="end"/>
      </w:r>
      <w:bookmarkEnd w:id="80"/>
      <w:bookmarkEnd w:id="81"/>
      <w:bookmarkEnd w:id="82"/>
      <w:bookmarkEnd w:id="83"/>
      <w:bookmarkEnd w:id="84"/>
    </w:p>
    <w:p>
      <w:pPr>
        <w:pStyle w:val="179"/>
        <w:numPr>
          <w:ilvl w:val="0"/>
          <w:numId w:val="0"/>
        </w:numPr>
        <w:ind w:leftChars="0"/>
        <w:rPr>
          <w:szCs w:val="22"/>
        </w:rPr>
      </w:pPr>
      <w:bookmarkStart w:id="85" w:name="_Toc23334"/>
      <w:bookmarkStart w:id="86" w:name="_Toc2196"/>
      <w:bookmarkStart w:id="87" w:name="_Toc25166"/>
      <w:bookmarkStart w:id="88" w:name="_Toc12397"/>
      <w:bookmarkStart w:id="89" w:name="_Toc31903"/>
      <w:r>
        <w:rPr>
          <w:rFonts w:hint="eastAsia"/>
          <w:szCs w:val="22"/>
          <w:lang w:eastAsia="zh-CN"/>
        </w:rPr>
        <w:fldChar w:fldCharType="begin"/>
      </w:r>
      <w:r>
        <w:rPr>
          <w:rFonts w:hint="eastAsia"/>
          <w:szCs w:val="22"/>
          <w:lang w:eastAsia="zh-CN"/>
        </w:rPr>
        <w:instrText xml:space="preserve"> HYPERLINK \l _Toc6011 </w:instrText>
      </w:r>
      <w:r>
        <w:rPr>
          <w:rFonts w:hint="eastAsia"/>
          <w:szCs w:val="22"/>
          <w:lang w:eastAsia="zh-CN"/>
        </w:rPr>
        <w:fldChar w:fldCharType="separate"/>
      </w:r>
      <w:r>
        <w:rPr>
          <w:rFonts w:hint="eastAsia"/>
          <w:szCs w:val="22"/>
        </w:rPr>
        <w:t>附录B</w:t>
      </w:r>
      <w:r>
        <w:rPr>
          <w:rFonts w:hint="eastAsia"/>
          <w:szCs w:val="22"/>
          <w:lang w:eastAsia="zh-CN"/>
        </w:rPr>
        <w:t>　</w:t>
      </w:r>
      <w:r>
        <w:rPr>
          <w:rFonts w:hint="eastAsia"/>
          <w:szCs w:val="22"/>
        </w:rPr>
        <w:t>（资料性）</w:t>
      </w:r>
      <w:r>
        <w:rPr>
          <w:rFonts w:hint="eastAsia"/>
          <w:szCs w:val="22"/>
          <w:lang w:eastAsia="zh-CN"/>
        </w:rPr>
        <w:t>　</w:t>
      </w:r>
      <w:r>
        <w:rPr>
          <w:rFonts w:hint="eastAsia" w:cs="宋体"/>
          <w:kern w:val="0"/>
        </w:rPr>
        <w:t>港口企业</w:t>
      </w:r>
      <w:r>
        <w:rPr>
          <w:rFonts w:hint="eastAsia" w:cs="宋体"/>
          <w:kern w:val="0"/>
          <w:lang w:val="en-US" w:eastAsia="zh-CN"/>
        </w:rPr>
        <w:t>二氧化碳</w:t>
      </w:r>
      <w:r>
        <w:rPr>
          <w:rFonts w:hint="eastAsia" w:cs="宋体"/>
          <w:kern w:val="0"/>
        </w:rPr>
        <w:t>排放报告</w:t>
      </w:r>
      <w:r>
        <w:rPr>
          <w:szCs w:val="22"/>
        </w:rPr>
        <w:tab/>
      </w:r>
      <w:r>
        <w:rPr>
          <w:rFonts w:hint="eastAsia"/>
          <w:szCs w:val="22"/>
          <w:lang w:eastAsia="zh-CN"/>
        </w:rPr>
        <w:fldChar w:fldCharType="end"/>
      </w:r>
      <w:bookmarkEnd w:id="85"/>
      <w:bookmarkEnd w:id="86"/>
      <w:bookmarkEnd w:id="87"/>
      <w:bookmarkEnd w:id="88"/>
      <w:bookmarkEnd w:id="89"/>
    </w:p>
    <w:p>
      <w:pPr>
        <w:ind w:left="0" w:leftChars="0" w:firstLine="0" w:firstLineChars="0"/>
        <w:rPr>
          <w:rFonts w:hint="eastAsia"/>
          <w:b/>
          <w:bCs/>
        </w:rPr>
      </w:pPr>
      <w:r>
        <w:rPr>
          <w:rFonts w:hint="eastAsia"/>
          <w:b/>
          <w:bCs/>
          <w:lang w:val="en-US" w:eastAsia="zh-CN"/>
        </w:rPr>
        <w:t>4</w:t>
      </w:r>
      <w:r>
        <w:rPr>
          <w:rFonts w:hint="eastAsia"/>
          <w:b/>
          <w:bCs/>
        </w:rPr>
        <w:t xml:space="preserve"> 核算和报告范围</w:t>
      </w:r>
    </w:p>
    <w:p>
      <w:pPr>
        <w:ind w:left="0" w:leftChars="0" w:firstLine="0" w:firstLineChars="0"/>
        <w:rPr>
          <w:rFonts w:hint="eastAsia"/>
          <w:b w:val="0"/>
          <w:bCs w:val="0"/>
        </w:rPr>
      </w:pPr>
      <w:r>
        <w:rPr>
          <w:rFonts w:hint="eastAsia"/>
          <w:b w:val="0"/>
          <w:bCs w:val="0"/>
          <w:lang w:val="en-US" w:eastAsia="zh-CN"/>
        </w:rPr>
        <w:t>4</w:t>
      </w:r>
      <w:r>
        <w:rPr>
          <w:rFonts w:hint="eastAsia"/>
          <w:b w:val="0"/>
          <w:bCs w:val="0"/>
        </w:rPr>
        <w:t>.</w:t>
      </w:r>
      <w:r>
        <w:rPr>
          <w:rFonts w:hint="eastAsia"/>
          <w:b w:val="0"/>
          <w:bCs w:val="0"/>
          <w:lang w:val="en-US" w:eastAsia="zh-CN"/>
        </w:rPr>
        <w:t>1</w:t>
      </w:r>
      <w:r>
        <w:rPr>
          <w:rFonts w:hint="eastAsia"/>
          <w:b w:val="0"/>
          <w:bCs w:val="0"/>
        </w:rPr>
        <w:t xml:space="preserve"> 企业组织边界识别</w:t>
      </w:r>
    </w:p>
    <w:p>
      <w:pPr>
        <w:ind w:firstLine="560"/>
        <w:rPr>
          <w:rFonts w:hint="default" w:eastAsia="宋体"/>
          <w:b w:val="0"/>
          <w:bCs w:val="0"/>
          <w:lang w:val="en-US" w:eastAsia="zh-CN"/>
        </w:rPr>
      </w:pPr>
      <w:r>
        <w:rPr>
          <w:rFonts w:hint="eastAsia"/>
          <w:b w:val="0"/>
          <w:bCs w:val="0"/>
          <w:lang w:val="en-US" w:eastAsia="zh-CN"/>
        </w:rPr>
        <w:t>本条根据《</w:t>
      </w:r>
      <w:r>
        <w:rPr>
          <w:rFonts w:hint="eastAsia"/>
          <w:b w:val="0"/>
          <w:bCs w:val="0"/>
        </w:rPr>
        <w:t>广东省企业（单位）二氧化碳排放信息报告指南</w:t>
      </w:r>
      <w:r>
        <w:rPr>
          <w:rFonts w:hint="eastAsia"/>
          <w:b w:val="0"/>
          <w:bCs w:val="0"/>
          <w:lang w:val="en-US" w:eastAsia="zh-CN"/>
        </w:rPr>
        <w:t>》提出</w:t>
      </w:r>
      <w:r>
        <w:rPr>
          <w:rFonts w:hint="eastAsia"/>
          <w:b w:val="0"/>
          <w:bCs w:val="0"/>
        </w:rPr>
        <w:t>。</w:t>
      </w:r>
      <w:r>
        <w:rPr>
          <w:rFonts w:hint="eastAsia"/>
          <w:b w:val="0"/>
          <w:bCs w:val="0"/>
          <w:lang w:val="en-US" w:eastAsia="zh-CN"/>
        </w:rPr>
        <w:t>调研发现，盐田国际本身不是企业法人，其由盐田国际集装箱码头有限公司、盐田三期国际集装箱码头有限公司、深圳盐田西港区码头有限公司3家企业法人组成，3家企业法人同属于1个法人代表，3家公司的资源共享，不能分开进行碳排放信息报告。根据盐田国际反映的实际情况，将“含有多个企业法人的多法人联合体，其中在广东省内的每个企业法人应分别独立进行二氧化碳排放报告，不能将多个企业法人作为一个企业法人进行报告”修改为“港口企业原则上以企业法人（或视同法人）的独立核算单位为边界，特殊情况下须经相关部门审批后方可将多法人联合体视为单一企业法人进行报告”。</w:t>
      </w:r>
    </w:p>
    <w:p>
      <w:pPr>
        <w:ind w:left="0" w:leftChars="0" w:firstLine="0" w:firstLineChars="0"/>
        <w:rPr>
          <w:rFonts w:hint="eastAsia"/>
          <w:b w:val="0"/>
          <w:bCs w:val="0"/>
        </w:rPr>
      </w:pPr>
      <w:r>
        <w:rPr>
          <w:rFonts w:hint="eastAsia"/>
          <w:b w:val="0"/>
          <w:bCs w:val="0"/>
          <w:lang w:val="en-US" w:eastAsia="zh-CN"/>
        </w:rPr>
        <w:t>4</w:t>
      </w:r>
      <w:r>
        <w:rPr>
          <w:rFonts w:hint="eastAsia"/>
          <w:b w:val="0"/>
          <w:bCs w:val="0"/>
        </w:rPr>
        <w:t>.</w:t>
      </w:r>
      <w:r>
        <w:rPr>
          <w:rFonts w:hint="eastAsia"/>
          <w:b w:val="0"/>
          <w:bCs w:val="0"/>
          <w:lang w:val="en-US" w:eastAsia="zh-CN"/>
        </w:rPr>
        <w:t>2</w:t>
      </w:r>
      <w:r>
        <w:rPr>
          <w:rFonts w:hint="eastAsia"/>
          <w:b w:val="0"/>
          <w:bCs w:val="0"/>
        </w:rPr>
        <w:t xml:space="preserve"> 报告年份</w:t>
      </w:r>
    </w:p>
    <w:p>
      <w:pPr>
        <w:ind w:firstLine="560"/>
        <w:rPr>
          <w:rFonts w:hint="eastAsia"/>
          <w:b w:val="0"/>
          <w:bCs w:val="0"/>
        </w:rPr>
      </w:pPr>
      <w:r>
        <w:rPr>
          <w:rFonts w:hint="eastAsia"/>
          <w:b w:val="0"/>
          <w:bCs w:val="0"/>
          <w:lang w:val="en-US" w:eastAsia="zh-CN"/>
        </w:rPr>
        <w:t>本条明确了港口企业二氧化碳排放和报告的统计周期</w:t>
      </w:r>
      <w:r>
        <w:rPr>
          <w:rFonts w:hint="eastAsia"/>
          <w:b w:val="0"/>
          <w:bCs w:val="0"/>
        </w:rPr>
        <w:t>。</w:t>
      </w:r>
    </w:p>
    <w:p>
      <w:pPr>
        <w:ind w:left="0" w:leftChars="0" w:firstLine="0" w:firstLineChars="0"/>
        <w:rPr>
          <w:rFonts w:hint="eastAsia"/>
          <w:b w:val="0"/>
          <w:bCs w:val="0"/>
        </w:rPr>
      </w:pPr>
      <w:r>
        <w:rPr>
          <w:rFonts w:hint="eastAsia"/>
          <w:b w:val="0"/>
          <w:bCs w:val="0"/>
          <w:lang w:val="en-US" w:eastAsia="zh-CN"/>
        </w:rPr>
        <w:t>4</w:t>
      </w:r>
      <w:r>
        <w:rPr>
          <w:rFonts w:hint="eastAsia"/>
          <w:b w:val="0"/>
          <w:bCs w:val="0"/>
        </w:rPr>
        <w:t>.</w:t>
      </w:r>
      <w:r>
        <w:rPr>
          <w:rFonts w:hint="eastAsia"/>
          <w:b w:val="0"/>
          <w:bCs w:val="0"/>
          <w:lang w:val="en-US" w:eastAsia="zh-CN"/>
        </w:rPr>
        <w:t>3</w:t>
      </w:r>
      <w:r>
        <w:rPr>
          <w:rFonts w:hint="eastAsia"/>
          <w:b w:val="0"/>
          <w:bCs w:val="0"/>
        </w:rPr>
        <w:t xml:space="preserve"> 二氧化碳排放活动识别</w:t>
      </w:r>
    </w:p>
    <w:p>
      <w:pPr>
        <w:ind w:firstLine="560"/>
        <w:rPr>
          <w:rFonts w:hint="eastAsia"/>
          <w:b w:val="0"/>
          <w:bCs w:val="0"/>
        </w:rPr>
      </w:pPr>
      <w:r>
        <w:rPr>
          <w:rFonts w:hint="eastAsia"/>
          <w:b w:val="0"/>
          <w:bCs w:val="0"/>
          <w:lang w:val="en-US" w:eastAsia="zh-CN"/>
        </w:rPr>
        <w:t>本条参考《</w:t>
      </w:r>
      <w:r>
        <w:rPr>
          <w:rFonts w:hint="eastAsia"/>
        </w:rPr>
        <w:t>港口能源消耗统计及分析方法</w:t>
      </w:r>
      <w:r>
        <w:rPr>
          <w:rFonts w:hint="eastAsia"/>
          <w:b w:val="0"/>
          <w:bCs w:val="0"/>
          <w:lang w:val="en-US" w:eastAsia="zh-CN"/>
        </w:rPr>
        <w:t>》《公路水路交通运输企业一套表统计调查制度》《港口和船舶岸电管理办法》等提出，明确了港口企业直接二氧化碳排放活动识别、间接二氧化碳排放活动识别、特殊排放说明和主要排放源识别</w:t>
      </w:r>
      <w:r>
        <w:rPr>
          <w:rFonts w:hint="eastAsia"/>
          <w:b w:val="0"/>
          <w:bCs w:val="0"/>
        </w:rPr>
        <w:t>。</w:t>
      </w:r>
    </w:p>
    <w:p>
      <w:pPr>
        <w:pStyle w:val="9"/>
        <w:rPr>
          <w:rFonts w:hint="eastAsia" w:eastAsia="宋体"/>
          <w:lang w:eastAsia="zh-CN"/>
        </w:rPr>
      </w:pPr>
      <w:r>
        <w:rPr>
          <w:rFonts w:hint="eastAsia"/>
          <w:lang w:val="en-US" w:eastAsia="zh-CN"/>
        </w:rPr>
        <w:t>对于</w:t>
      </w:r>
      <w:r>
        <w:rPr>
          <w:rFonts w:hint="eastAsia"/>
        </w:rPr>
        <w:t>港口企业外包业务产生的能源消耗（燃料、电力、热力等），企业需对此部分能源消耗量进行报告，但暂不核算成二氧化碳排放</w:t>
      </w:r>
      <w:r>
        <w:rPr>
          <w:rFonts w:hint="eastAsia"/>
          <w:lang w:eastAsia="zh-CN"/>
        </w:rPr>
        <w:t>；船舶靠港使用岸电的用电量，企业需对岸电使用量进行报告，但不计入企业二氧化碳排放；</w:t>
      </w:r>
      <w:bookmarkStart w:id="91" w:name="_GoBack"/>
      <w:bookmarkEnd w:id="91"/>
      <w:r>
        <w:rPr>
          <w:rFonts w:hint="eastAsia"/>
          <w:lang w:eastAsia="zh-CN"/>
        </w:rPr>
        <w:t>港口企业利用光伏、风能等可再生能源发电供自己使用，企业需对可再生能源发电量进行报告，但不计入企业二氧化碳排放；企业在其主营业务之外进行其他生产经营活动时，企业需对此部分能源消耗量进行报告，但暂不核算成二氧化碳排放。</w:t>
      </w:r>
    </w:p>
    <w:p>
      <w:pPr>
        <w:ind w:left="0" w:leftChars="0" w:firstLine="0" w:firstLineChars="0"/>
        <w:rPr>
          <w:rFonts w:hint="eastAsia"/>
          <w:b/>
          <w:bCs/>
        </w:rPr>
      </w:pPr>
      <w:r>
        <w:rPr>
          <w:rFonts w:hint="eastAsia"/>
          <w:b/>
          <w:bCs/>
          <w:lang w:val="en-US" w:eastAsia="zh-CN"/>
        </w:rPr>
        <w:t>5</w:t>
      </w:r>
      <w:r>
        <w:rPr>
          <w:rFonts w:hint="eastAsia"/>
          <w:b/>
          <w:bCs/>
        </w:rPr>
        <w:t xml:space="preserve"> 核算方法</w:t>
      </w:r>
    </w:p>
    <w:p>
      <w:pPr>
        <w:ind w:left="0" w:leftChars="0" w:firstLine="0" w:firstLineChars="0"/>
        <w:rPr>
          <w:rFonts w:hint="eastAsia"/>
          <w:b w:val="0"/>
          <w:bCs w:val="0"/>
        </w:rPr>
      </w:pPr>
      <w:r>
        <w:rPr>
          <w:rFonts w:hint="eastAsia"/>
          <w:b w:val="0"/>
          <w:bCs w:val="0"/>
          <w:lang w:val="en-US" w:eastAsia="zh-CN"/>
        </w:rPr>
        <w:t>5</w:t>
      </w:r>
      <w:r>
        <w:rPr>
          <w:rFonts w:hint="eastAsia"/>
          <w:b w:val="0"/>
          <w:bCs w:val="0"/>
        </w:rPr>
        <w:t>.1 排放总量</w:t>
      </w:r>
    </w:p>
    <w:p>
      <w:pPr>
        <w:ind w:firstLine="560"/>
        <w:rPr>
          <w:rFonts w:hint="eastAsia" w:eastAsia="宋体"/>
          <w:b w:val="0"/>
          <w:bCs w:val="0"/>
          <w:lang w:eastAsia="zh-CN"/>
        </w:rPr>
      </w:pPr>
      <w:r>
        <w:rPr>
          <w:rFonts w:hint="eastAsia"/>
          <w:b w:val="0"/>
          <w:bCs w:val="0"/>
          <w:lang w:val="en-US" w:eastAsia="zh-CN"/>
        </w:rPr>
        <w:t>本条给出了港口企业二氧化碳排放总量的计算公式</w:t>
      </w:r>
      <w:r>
        <w:rPr>
          <w:rFonts w:hint="eastAsia"/>
          <w:b w:val="0"/>
          <w:bCs w:val="0"/>
        </w:rPr>
        <w:t>。排放总量等于核算边界内直接排放、间接排放之和，即化石燃料燃烧、消耗外购电力、消耗外购热力的排放之和</w:t>
      </w:r>
      <w:r>
        <w:rPr>
          <w:rFonts w:hint="eastAsia"/>
          <w:b w:val="0"/>
          <w:bCs w:val="0"/>
          <w:lang w:eastAsia="zh-CN"/>
        </w:rPr>
        <w:t>。</w:t>
      </w:r>
    </w:p>
    <w:p>
      <w:pPr>
        <w:ind w:left="0" w:leftChars="0" w:firstLine="0" w:firstLineChars="0"/>
        <w:rPr>
          <w:rFonts w:hint="eastAsia"/>
          <w:b w:val="0"/>
          <w:bCs w:val="0"/>
        </w:rPr>
      </w:pPr>
      <w:r>
        <w:rPr>
          <w:rFonts w:hint="eastAsia"/>
          <w:b w:val="0"/>
          <w:bCs w:val="0"/>
          <w:lang w:val="en-US" w:eastAsia="zh-CN"/>
        </w:rPr>
        <w:t>5</w:t>
      </w:r>
      <w:r>
        <w:rPr>
          <w:rFonts w:hint="eastAsia"/>
          <w:b w:val="0"/>
          <w:bCs w:val="0"/>
        </w:rPr>
        <w:t>.2 直接二氧化碳排放</w:t>
      </w:r>
    </w:p>
    <w:p>
      <w:pPr>
        <w:ind w:firstLine="560"/>
        <w:rPr>
          <w:rFonts w:hint="default" w:eastAsia="宋体"/>
          <w:b w:val="0"/>
          <w:bCs w:val="0"/>
          <w:lang w:val="en-US" w:eastAsia="zh-CN"/>
        </w:rPr>
      </w:pPr>
      <w:r>
        <w:rPr>
          <w:rFonts w:hint="eastAsia"/>
          <w:b w:val="0"/>
          <w:bCs w:val="0"/>
          <w:lang w:val="en-US" w:eastAsia="zh-CN"/>
        </w:rPr>
        <w:t>本条明确了港口企业</w:t>
      </w:r>
      <w:r>
        <w:rPr>
          <w:rFonts w:hint="eastAsia"/>
          <w:b w:val="0"/>
          <w:bCs w:val="0"/>
        </w:rPr>
        <w:t>直接二氧化碳排放</w:t>
      </w:r>
      <w:r>
        <w:rPr>
          <w:rFonts w:hint="eastAsia"/>
          <w:b w:val="0"/>
          <w:bCs w:val="0"/>
          <w:lang w:val="en-US" w:eastAsia="zh-CN"/>
        </w:rPr>
        <w:t>量的计算方法及公式，并给出了燃料燃烧二氧化碳排放因子的计算公式</w:t>
      </w:r>
      <w:r>
        <w:rPr>
          <w:rFonts w:hint="eastAsia"/>
          <w:b w:val="0"/>
          <w:bCs w:val="0"/>
        </w:rPr>
        <w:t>。</w:t>
      </w:r>
      <w:r>
        <w:rPr>
          <w:rFonts w:hint="eastAsia"/>
          <w:b w:val="0"/>
          <w:bCs w:val="0"/>
          <w:lang w:val="en-US" w:eastAsia="zh-CN"/>
        </w:rPr>
        <w:t>对于活动数据燃料的低位发热量，企业可以实测或者采用本指南附录A提供的参考值。</w:t>
      </w:r>
    </w:p>
    <w:p>
      <w:pPr>
        <w:ind w:left="0" w:leftChars="0" w:firstLine="0" w:firstLineChars="0"/>
        <w:rPr>
          <w:rFonts w:hint="eastAsia"/>
          <w:b w:val="0"/>
          <w:bCs w:val="0"/>
        </w:rPr>
      </w:pPr>
      <w:r>
        <w:rPr>
          <w:rFonts w:hint="eastAsia"/>
          <w:b w:val="0"/>
          <w:bCs w:val="0"/>
          <w:lang w:val="en-US" w:eastAsia="zh-CN"/>
        </w:rPr>
        <w:t>5</w:t>
      </w:r>
      <w:r>
        <w:rPr>
          <w:rFonts w:hint="eastAsia"/>
          <w:b w:val="0"/>
          <w:bCs w:val="0"/>
        </w:rPr>
        <w:t>.3 间接二氧化碳排放</w:t>
      </w:r>
    </w:p>
    <w:p>
      <w:pPr>
        <w:ind w:firstLine="560"/>
        <w:rPr>
          <w:rFonts w:hint="eastAsia"/>
          <w:b w:val="0"/>
          <w:bCs w:val="0"/>
        </w:rPr>
      </w:pPr>
      <w:r>
        <w:rPr>
          <w:rFonts w:hint="eastAsia"/>
          <w:b w:val="0"/>
          <w:bCs w:val="0"/>
        </w:rPr>
        <w:t>明确了</w:t>
      </w:r>
      <w:r>
        <w:rPr>
          <w:rFonts w:hint="eastAsia"/>
          <w:b w:val="0"/>
          <w:bCs w:val="0"/>
          <w:lang w:val="en-US" w:eastAsia="zh-CN"/>
        </w:rPr>
        <w:t>港口企业</w:t>
      </w:r>
      <w:r>
        <w:rPr>
          <w:rFonts w:hint="eastAsia"/>
          <w:b w:val="0"/>
          <w:bCs w:val="0"/>
        </w:rPr>
        <w:t>间接二氧化碳排放量计算方法</w:t>
      </w:r>
      <w:r>
        <w:rPr>
          <w:rFonts w:hint="eastAsia"/>
          <w:b w:val="0"/>
          <w:bCs w:val="0"/>
          <w:lang w:val="en-US" w:eastAsia="zh-CN"/>
        </w:rPr>
        <w:t>及公式</w:t>
      </w:r>
      <w:r>
        <w:rPr>
          <w:rFonts w:hint="eastAsia"/>
          <w:b w:val="0"/>
          <w:bCs w:val="0"/>
        </w:rPr>
        <w:t>，包括外购电力、热力产生的二氧化碳排放。</w:t>
      </w:r>
    </w:p>
    <w:p>
      <w:pPr>
        <w:ind w:left="0" w:leftChars="0" w:firstLine="0" w:firstLineChars="0"/>
        <w:rPr>
          <w:rFonts w:hint="eastAsia"/>
          <w:b w:val="0"/>
          <w:bCs w:val="0"/>
        </w:rPr>
      </w:pPr>
      <w:r>
        <w:rPr>
          <w:rFonts w:hint="eastAsia"/>
          <w:b w:val="0"/>
          <w:bCs w:val="0"/>
          <w:lang w:val="en-US" w:eastAsia="zh-CN"/>
        </w:rPr>
        <w:t>5</w:t>
      </w:r>
      <w:r>
        <w:rPr>
          <w:rFonts w:hint="eastAsia"/>
          <w:b w:val="0"/>
          <w:bCs w:val="0"/>
        </w:rPr>
        <w:t>.4 数据来源</w:t>
      </w:r>
    </w:p>
    <w:p>
      <w:pPr>
        <w:ind w:firstLine="560"/>
        <w:rPr>
          <w:rFonts w:hint="eastAsia"/>
          <w:b w:val="0"/>
          <w:bCs w:val="0"/>
        </w:rPr>
      </w:pPr>
      <w:r>
        <w:rPr>
          <w:rFonts w:hint="eastAsia"/>
          <w:b w:val="0"/>
          <w:bCs w:val="0"/>
          <w:lang w:val="en-US" w:eastAsia="zh-CN"/>
        </w:rPr>
        <w:t>明确了</w:t>
      </w:r>
      <w:r>
        <w:rPr>
          <w:rFonts w:hint="eastAsia"/>
          <w:b w:val="0"/>
          <w:bCs w:val="0"/>
        </w:rPr>
        <w:t>港口企业对二氧化碳</w:t>
      </w:r>
      <w:r>
        <w:rPr>
          <w:rFonts w:hint="eastAsia"/>
          <w:b w:val="0"/>
          <w:bCs w:val="0"/>
          <w:lang w:val="en-US" w:eastAsia="zh-CN"/>
        </w:rPr>
        <w:t>排放</w:t>
      </w:r>
      <w:r>
        <w:rPr>
          <w:rFonts w:hint="eastAsia"/>
          <w:b w:val="0"/>
          <w:bCs w:val="0"/>
        </w:rPr>
        <w:t>相关数据</w:t>
      </w:r>
      <w:r>
        <w:rPr>
          <w:rFonts w:hint="eastAsia"/>
          <w:b w:val="0"/>
          <w:bCs w:val="0"/>
          <w:lang w:val="en-US" w:eastAsia="zh-CN"/>
        </w:rPr>
        <w:t>获取、监测、保存等要求</w:t>
      </w:r>
      <w:r>
        <w:rPr>
          <w:rFonts w:hint="eastAsia"/>
          <w:b w:val="0"/>
          <w:bCs w:val="0"/>
        </w:rPr>
        <w:t>。</w:t>
      </w:r>
    </w:p>
    <w:p>
      <w:pPr>
        <w:ind w:left="0" w:leftChars="0" w:firstLine="0" w:firstLineChars="0"/>
        <w:rPr>
          <w:rFonts w:hint="eastAsia"/>
          <w:b/>
          <w:bCs/>
        </w:rPr>
      </w:pPr>
      <w:r>
        <w:rPr>
          <w:rFonts w:hint="eastAsia"/>
          <w:b/>
          <w:bCs/>
          <w:lang w:val="en-US" w:eastAsia="zh-CN"/>
        </w:rPr>
        <w:t>6</w:t>
      </w:r>
      <w:r>
        <w:rPr>
          <w:rFonts w:hint="eastAsia"/>
          <w:b/>
          <w:bCs/>
        </w:rPr>
        <w:t xml:space="preserve"> 数据质量管理</w:t>
      </w:r>
    </w:p>
    <w:p>
      <w:pPr>
        <w:ind w:firstLine="560"/>
        <w:rPr>
          <w:rFonts w:hint="eastAsia"/>
          <w:b w:val="0"/>
          <w:bCs w:val="0"/>
        </w:rPr>
      </w:pPr>
      <w:r>
        <w:rPr>
          <w:rFonts w:hint="eastAsia"/>
          <w:b w:val="0"/>
          <w:bCs w:val="0"/>
          <w:lang w:val="en-US" w:eastAsia="zh-CN"/>
        </w:rPr>
        <w:t>规定了港口企业二氧化碳相关数据质量管理的措施。</w:t>
      </w:r>
    </w:p>
    <w:p>
      <w:pPr>
        <w:ind w:left="0" w:leftChars="0" w:firstLine="0" w:firstLineChars="0"/>
        <w:rPr>
          <w:rFonts w:hint="eastAsia"/>
          <w:b/>
          <w:bCs/>
        </w:rPr>
      </w:pPr>
      <w:r>
        <w:rPr>
          <w:rFonts w:hint="eastAsia"/>
          <w:b/>
          <w:bCs/>
          <w:lang w:val="en-US" w:eastAsia="zh-CN"/>
        </w:rPr>
        <w:t>7</w:t>
      </w:r>
      <w:r>
        <w:rPr>
          <w:rFonts w:hint="eastAsia"/>
          <w:b/>
          <w:bCs/>
        </w:rPr>
        <w:t xml:space="preserve"> 二氧化碳排放报告</w:t>
      </w:r>
    </w:p>
    <w:p>
      <w:pPr>
        <w:ind w:firstLine="560"/>
        <w:rPr>
          <w:rFonts w:hint="default" w:eastAsia="宋体"/>
          <w:b w:val="0"/>
          <w:bCs w:val="0"/>
          <w:lang w:val="en-US" w:eastAsia="zh-CN"/>
        </w:rPr>
      </w:pPr>
      <w:r>
        <w:rPr>
          <w:rFonts w:hint="eastAsia"/>
          <w:b w:val="0"/>
          <w:bCs w:val="0"/>
          <w:lang w:val="en-US" w:eastAsia="zh-CN"/>
        </w:rPr>
        <w:t>规定了港口企业二氧化碳排放报告的内容。</w:t>
      </w:r>
    </w:p>
    <w:p>
      <w:pPr>
        <w:ind w:left="0" w:leftChars="0" w:firstLine="0" w:firstLineChars="0"/>
        <w:rPr>
          <w:rFonts w:hint="eastAsia"/>
          <w:b/>
          <w:bCs/>
        </w:rPr>
      </w:pPr>
      <w:r>
        <w:rPr>
          <w:rFonts w:hint="eastAsia"/>
          <w:b/>
          <w:bCs/>
        </w:rPr>
        <w:t>附录A（资料性）直接排放与间接排放的排放因子参考值</w:t>
      </w:r>
    </w:p>
    <w:p>
      <w:pPr>
        <w:ind w:firstLine="560"/>
        <w:rPr>
          <w:rFonts w:hint="eastAsia"/>
          <w:b w:val="0"/>
          <w:bCs w:val="0"/>
        </w:rPr>
      </w:pPr>
      <w:r>
        <w:rPr>
          <w:rFonts w:hint="eastAsia"/>
          <w:b w:val="0"/>
          <w:bCs w:val="0"/>
          <w:lang w:val="en-US" w:eastAsia="zh-CN"/>
        </w:rPr>
        <w:t>依据《综合能耗计算通则》《省级温室气体清单编制指南（试行）》《重点用能单位能源利用状况报告制度实施方案》《2010 年中国区域及省级电网平均二氧化碳排放因子》《能源消耗引起的温室气体排放计算工具指南 2.0》等文件，给出了</w:t>
      </w:r>
      <w:r>
        <w:rPr>
          <w:rFonts w:hint="eastAsia"/>
          <w:b w:val="0"/>
          <w:bCs w:val="0"/>
        </w:rPr>
        <w:t>直接排放与间接排放的</w:t>
      </w:r>
      <w:r>
        <w:rPr>
          <w:rFonts w:hint="eastAsia"/>
          <w:b w:val="0"/>
          <w:bCs w:val="0"/>
          <w:lang w:val="en-US" w:eastAsia="zh-CN"/>
        </w:rPr>
        <w:t>相关参数及</w:t>
      </w:r>
      <w:r>
        <w:rPr>
          <w:rFonts w:hint="eastAsia"/>
          <w:b w:val="0"/>
          <w:bCs w:val="0"/>
        </w:rPr>
        <w:t>排放因子参考值。</w:t>
      </w:r>
    </w:p>
    <w:p>
      <w:pPr>
        <w:ind w:left="0" w:leftChars="0" w:firstLine="0" w:firstLineChars="0"/>
        <w:rPr>
          <w:rFonts w:hint="eastAsia"/>
          <w:b/>
          <w:bCs/>
        </w:rPr>
      </w:pPr>
      <w:r>
        <w:rPr>
          <w:rFonts w:hint="eastAsia"/>
          <w:b/>
          <w:bCs/>
          <w:lang w:val="en-US" w:eastAsia="zh-CN"/>
        </w:rPr>
        <w:t>附录B（资料性）港口企业二氧化碳排放报告</w:t>
      </w:r>
    </w:p>
    <w:p>
      <w:pPr>
        <w:ind w:firstLine="560"/>
        <w:rPr>
          <w:rFonts w:hint="eastAsia" w:eastAsia="宋体"/>
          <w:b w:val="0"/>
          <w:bCs w:val="0"/>
          <w:lang w:val="en-US" w:eastAsia="zh-CN"/>
        </w:rPr>
      </w:pPr>
      <w:r>
        <w:rPr>
          <w:rFonts w:hint="eastAsia"/>
          <w:b w:val="0"/>
          <w:bCs w:val="0"/>
        </w:rPr>
        <w:t>给出了</w:t>
      </w:r>
      <w:r>
        <w:rPr>
          <w:rFonts w:hint="eastAsia"/>
          <w:b w:val="0"/>
          <w:bCs w:val="0"/>
          <w:lang w:val="en-US" w:eastAsia="zh-CN"/>
        </w:rPr>
        <w:t>港口</w:t>
      </w:r>
      <w:r>
        <w:rPr>
          <w:rFonts w:hint="eastAsia"/>
          <w:b w:val="0"/>
          <w:bCs w:val="0"/>
        </w:rPr>
        <w:t>企业二氧化碳排放报告样式。</w:t>
      </w:r>
      <w:r>
        <w:rPr>
          <w:rFonts w:hint="eastAsia"/>
          <w:b w:val="0"/>
          <w:bCs w:val="0"/>
          <w:lang w:val="en-US" w:eastAsia="zh-CN"/>
        </w:rPr>
        <w:t>包括表B.1 报告单位基本信息及组织边界、表B.2 二氧化碳排放量化汇总表、表B.3 二氧化碳排放量化表、表B.4 数据质量管理表、B.5 其他需要说明的情况、表B.6 报告真实性说明。</w:t>
      </w:r>
    </w:p>
    <w:p>
      <w:pPr>
        <w:ind w:firstLine="560"/>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lang w:val="en-US" w:eastAsia="zh-CN"/>
        </w:rPr>
        <w:t>年</w:t>
      </w:r>
      <w:r>
        <w:rPr>
          <w:rFonts w:hint="eastAsia"/>
          <w:b w:val="0"/>
          <w:bCs w:val="0"/>
          <w:lang w:eastAsia="zh-CN"/>
        </w:rPr>
        <w:t>吞吐量</w:t>
      </w:r>
    </w:p>
    <w:p>
      <w:pPr>
        <w:ind w:firstLine="560"/>
        <w:rPr>
          <w:rFonts w:hint="eastAsia"/>
          <w:b w:val="0"/>
          <w:bCs w:val="0"/>
          <w:lang w:eastAsia="zh-CN"/>
        </w:rPr>
      </w:pPr>
      <w:r>
        <w:rPr>
          <w:rFonts w:hint="eastAsia"/>
          <w:b w:val="0"/>
          <w:bCs w:val="0"/>
          <w:lang w:val="en-US" w:eastAsia="zh-CN"/>
        </w:rPr>
        <w:t>年</w:t>
      </w:r>
      <w:r>
        <w:rPr>
          <w:rFonts w:hint="eastAsia"/>
          <w:b w:val="0"/>
          <w:bCs w:val="0"/>
          <w:lang w:eastAsia="zh-CN"/>
        </w:rPr>
        <w:t>吞吐量（</w:t>
      </w:r>
      <w:r>
        <w:rPr>
          <w:rFonts w:hint="eastAsia"/>
          <w:b w:val="0"/>
          <w:bCs w:val="0"/>
          <w:lang w:val="en-US" w:eastAsia="zh-CN"/>
        </w:rPr>
        <w:t>万</w:t>
      </w:r>
      <w:r>
        <w:rPr>
          <w:rFonts w:hint="eastAsia"/>
          <w:b w:val="0"/>
          <w:bCs w:val="0"/>
          <w:lang w:eastAsia="zh-CN"/>
        </w:rPr>
        <w:t>吨）=</w:t>
      </w:r>
      <w:r>
        <w:rPr>
          <w:rFonts w:hint="eastAsia"/>
          <w:b w:val="0"/>
          <w:bCs w:val="0"/>
          <w:lang w:val="en-US" w:eastAsia="zh-CN"/>
        </w:rPr>
        <w:t>年</w:t>
      </w:r>
      <w:r>
        <w:rPr>
          <w:rFonts w:hint="eastAsia"/>
          <w:b w:val="0"/>
          <w:bCs w:val="0"/>
          <w:lang w:eastAsia="zh-CN"/>
        </w:rPr>
        <w:t>旅客吞吐量（万人次）×</w:t>
      </w:r>
      <w:r>
        <w:rPr>
          <w:rFonts w:hint="eastAsia"/>
          <w:b w:val="0"/>
          <w:bCs w:val="0"/>
          <w:lang w:val="en-US" w:eastAsia="zh-CN"/>
        </w:rPr>
        <w:t>10</w:t>
      </w:r>
      <w:r>
        <w:rPr>
          <w:rFonts w:hint="eastAsia"/>
          <w:b w:val="0"/>
          <w:bCs w:val="0"/>
          <w:vertAlign w:val="superscript"/>
          <w:lang w:val="en-US" w:eastAsia="zh-CN"/>
        </w:rPr>
        <w:t>-1</w:t>
      </w:r>
      <w:r>
        <w:rPr>
          <w:rFonts w:hint="eastAsia"/>
          <w:b w:val="0"/>
          <w:bCs w:val="0"/>
          <w:lang w:eastAsia="zh-CN"/>
        </w:rPr>
        <w:t>+</w:t>
      </w:r>
      <w:r>
        <w:rPr>
          <w:rFonts w:hint="eastAsia"/>
          <w:b w:val="0"/>
          <w:bCs w:val="0"/>
          <w:lang w:val="en-US" w:eastAsia="zh-CN"/>
        </w:rPr>
        <w:t>年</w:t>
      </w:r>
      <w:r>
        <w:rPr>
          <w:rFonts w:hint="eastAsia"/>
          <w:b w:val="0"/>
          <w:bCs w:val="0"/>
          <w:lang w:eastAsia="zh-CN"/>
        </w:rPr>
        <w:t>货物吞吐量（</w:t>
      </w:r>
      <w:r>
        <w:rPr>
          <w:rFonts w:hint="eastAsia"/>
          <w:b w:val="0"/>
          <w:bCs w:val="0"/>
          <w:lang w:val="en-US" w:eastAsia="zh-CN"/>
        </w:rPr>
        <w:t>万</w:t>
      </w:r>
      <w:r>
        <w:rPr>
          <w:rFonts w:hint="eastAsia"/>
          <w:b w:val="0"/>
          <w:bCs w:val="0"/>
          <w:lang w:eastAsia="zh-CN"/>
        </w:rPr>
        <w:t>吨）</w:t>
      </w:r>
    </w:p>
    <w:p>
      <w:pPr>
        <w:ind w:firstLine="560"/>
        <w:rPr>
          <w:rFonts w:hint="eastAsia"/>
          <w:b w:val="0"/>
          <w:bCs w:val="0"/>
          <w:lang w:eastAsia="zh-CN"/>
        </w:rPr>
      </w:pPr>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eastAsia"/>
          <w:b w:val="0"/>
          <w:bCs w:val="0"/>
          <w:lang w:val="en-US" w:eastAsia="zh-CN"/>
        </w:rPr>
        <w:t>综合能源消费量</w:t>
      </w:r>
    </w:p>
    <w:p>
      <w:pPr>
        <w:ind w:firstLine="560"/>
        <w:rPr>
          <w:rFonts w:hint="default"/>
          <w:b w:val="0"/>
          <w:bCs w:val="0"/>
          <w:lang w:val="en-US" w:eastAsia="zh-CN"/>
        </w:rPr>
      </w:pPr>
      <w:r>
        <w:rPr>
          <w:rFonts w:hint="eastAsia"/>
          <w:b w:val="0"/>
          <w:bCs w:val="0"/>
          <w:lang w:val="en-US" w:eastAsia="zh-CN"/>
        </w:rPr>
        <w:t>综合能源消费量=装卸生产能源消耗量+辅助生产能源消耗量+附属生产能源消耗量</w:t>
      </w:r>
    </w:p>
    <w:p>
      <w:pPr>
        <w:ind w:firstLine="560"/>
        <w:rPr>
          <w:rFonts w:hint="eastAsia"/>
          <w:b w:val="0"/>
          <w:bCs w:val="0"/>
          <w:lang w:eastAsia="zh-CN"/>
        </w:rPr>
      </w:pPr>
      <w:r>
        <w:rPr>
          <w:rFonts w:hint="eastAsia"/>
          <w:b w:val="0"/>
          <w:bCs w:val="0"/>
          <w:lang w:val="en-US" w:eastAsia="zh-CN"/>
        </w:rPr>
        <w:t>能源消耗量</w:t>
      </w:r>
      <w:r>
        <w:rPr>
          <w:rFonts w:hint="eastAsia"/>
          <w:b w:val="0"/>
          <w:bCs w:val="0"/>
          <w:lang w:eastAsia="zh-CN"/>
        </w:rPr>
        <w:t>（</w:t>
      </w:r>
      <w:r>
        <w:rPr>
          <w:rFonts w:hint="eastAsia"/>
          <w:b w:val="0"/>
          <w:bCs w:val="0"/>
          <w:lang w:val="en-US" w:eastAsia="zh-CN"/>
        </w:rPr>
        <w:t>吨标煤</w:t>
      </w:r>
      <w:r>
        <w:rPr>
          <w:rFonts w:hint="eastAsia"/>
          <w:b w:val="0"/>
          <w:bCs w:val="0"/>
          <w:lang w:eastAsia="zh-CN"/>
        </w:rPr>
        <w:t>）=</w:t>
      </w:r>
      <w:r>
        <w:rPr>
          <w:rFonts w:hint="eastAsia"/>
          <w:b w:val="0"/>
          <w:bCs w:val="0"/>
          <w:lang w:val="en-US" w:eastAsia="zh-CN"/>
        </w:rPr>
        <w:t>第i种能源消耗量</w:t>
      </w:r>
      <w:r>
        <w:rPr>
          <w:rFonts w:hint="eastAsia"/>
          <w:b w:val="0"/>
          <w:bCs w:val="0"/>
          <w:lang w:eastAsia="zh-CN"/>
        </w:rPr>
        <w:t>×</w:t>
      </w:r>
      <w:r>
        <w:rPr>
          <w:rFonts w:hint="eastAsia"/>
          <w:b w:val="0"/>
          <w:bCs w:val="0"/>
          <w:lang w:val="en-US" w:eastAsia="zh-CN"/>
        </w:rPr>
        <w:t>第i种能源折标准煤系数</w:t>
      </w:r>
    </w:p>
    <w:p>
      <w:pPr>
        <w:ind w:firstLine="560"/>
        <w:rPr>
          <w:rFonts w:hint="default"/>
          <w:b w:val="0"/>
          <w:bCs w:val="0"/>
          <w:lang w:val="en-US" w:eastAsia="zh-CN"/>
        </w:rPr>
      </w:pPr>
      <w:r>
        <w:rPr>
          <w:rFonts w:hint="eastAsia"/>
          <w:b w:val="0"/>
          <w:bCs w:val="0"/>
          <w:lang w:eastAsia="zh-CN"/>
        </w:rPr>
        <w:t>第i种能源消耗量：</w:t>
      </w:r>
      <w:r>
        <w:rPr>
          <w:rFonts w:hint="eastAsia"/>
          <w:b w:val="0"/>
          <w:bCs w:val="0"/>
          <w:lang w:val="en-US" w:eastAsia="zh-CN"/>
        </w:rPr>
        <w:t>单位为吨、万千瓦时或万立方米等</w:t>
      </w:r>
    </w:p>
    <w:p>
      <w:pPr>
        <w:ind w:firstLine="560"/>
        <w:rPr>
          <w:rFonts w:hint="eastAsia"/>
          <w:b w:val="0"/>
          <w:bCs w:val="0"/>
          <w:lang w:eastAsia="zh-CN"/>
        </w:rPr>
      </w:pPr>
      <w:r>
        <w:rPr>
          <w:rFonts w:hint="eastAsia"/>
          <w:b w:val="0"/>
          <w:bCs w:val="0"/>
          <w:lang w:eastAsia="zh-CN"/>
        </w:rPr>
        <w:t>各种能源折标煤参考系数参照GB/T 2589《综合能耗计算通则》和GB/T 21339 《港口能源消耗统计及分析方法》</w:t>
      </w:r>
    </w:p>
    <w:tbl>
      <w:tblPr>
        <w:tblStyle w:val="37"/>
        <w:tblW w:w="8501"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2865"/>
        <w:gridCol w:w="3636"/>
        <w:gridCol w:w="200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4"/>
              </w:rPr>
            </w:pPr>
            <w:bookmarkStart w:id="90" w:name="_Hlk81413548"/>
            <w:r>
              <w:rPr>
                <w:rFonts w:hint="default" w:ascii="Times New Roman" w:hAnsi="Times New Roman" w:eastAsia="宋体" w:cs="Times New Roman"/>
                <w:b/>
                <w:bCs/>
                <w:sz w:val="24"/>
                <w:szCs w:val="24"/>
              </w:rPr>
              <w:t>能源名称</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折标准煤系数</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煤炭</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1千克=0.7143千克标准煤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原油</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1千克=1.4286千克标准煤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燃料油</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1千克=1.4286千克标准煤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汽油</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1千克=1.4714千克标准煤</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1升=0.73×1.4714千克标准煤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1升=0.73千克</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乙醇汽油</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1千克=1.4404千克标准煤</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1升=0.745×1.4404千克标准煤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1升=0.745千克</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煤油</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1千克=1.4714千克标准煤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柴油</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1千克=1.4571千克标准煤</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1升=0.86×1.4571千克标准煤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1升=0.86千克</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液化石油气</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1千克=1.7143千克标准煤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压缩天然气（气态）</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1立方米=1.3300千克标准煤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液化天然气（液态）</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1千克=1.7572千克标准煤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热力（当量）</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1百万焦耳=0.0341千克标准煤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电力（当量）</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1千瓦小时=0.1229千克标准煤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氢</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1立方米=0.3329千克标准煤</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1千克=0.3329×12.1951千克标准煤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1千克=12.1951立方米</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甲醇</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1千克=0.7751千克标准煤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2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乙醇</w:t>
            </w:r>
          </w:p>
        </w:tc>
        <w:tc>
          <w:tcPr>
            <w:tcW w:w="36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1千克=0.9286千克标准煤</w:t>
            </w:r>
          </w:p>
        </w:tc>
        <w:tc>
          <w:tcPr>
            <w:tcW w:w="2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4"/>
                <w:szCs w:val="24"/>
              </w:rPr>
            </w:pPr>
          </w:p>
        </w:tc>
      </w:tr>
      <w:bookmarkEnd w:id="90"/>
    </w:tbl>
    <w:p>
      <w:pPr>
        <w:ind w:firstLine="560"/>
        <w:rPr>
          <w:rFonts w:hint="eastAsia"/>
          <w:b w:val="0"/>
          <w:bCs w:val="0"/>
          <w:lang w:eastAsia="zh-CN"/>
        </w:rPr>
      </w:pPr>
      <w:r>
        <w:rPr>
          <w:rFonts w:hint="eastAsia"/>
          <w:b w:val="0"/>
          <w:bCs w:val="0"/>
          <w:lang w:eastAsia="zh-CN"/>
        </w:rPr>
        <w:t>（</w:t>
      </w:r>
      <w:r>
        <w:rPr>
          <w:rFonts w:hint="eastAsia"/>
          <w:b w:val="0"/>
          <w:bCs w:val="0"/>
          <w:lang w:val="en-US" w:eastAsia="zh-CN"/>
        </w:rPr>
        <w:t>3</w:t>
      </w:r>
      <w:r>
        <w:rPr>
          <w:rFonts w:hint="eastAsia"/>
          <w:b w:val="0"/>
          <w:bCs w:val="0"/>
          <w:lang w:eastAsia="zh-CN"/>
        </w:rPr>
        <w:t>）</w:t>
      </w:r>
      <w:r>
        <w:rPr>
          <w:rFonts w:hint="eastAsia"/>
          <w:b w:val="0"/>
          <w:bCs w:val="0"/>
          <w:lang w:val="en-US" w:eastAsia="zh-CN"/>
        </w:rPr>
        <w:t>单位吞吐量能耗</w:t>
      </w:r>
    </w:p>
    <w:p>
      <w:pPr>
        <w:ind w:firstLine="560"/>
        <w:rPr>
          <w:rFonts w:hint="eastAsia"/>
          <w:b w:val="0"/>
          <w:bCs w:val="0"/>
          <w:lang w:eastAsia="zh-CN"/>
        </w:rPr>
      </w:pPr>
      <w:r>
        <w:rPr>
          <w:rFonts w:hint="eastAsia"/>
          <w:b w:val="0"/>
          <w:bCs w:val="0"/>
          <w:lang w:val="en-US" w:eastAsia="zh-CN"/>
        </w:rPr>
        <w:t>单位吞吐量能耗（吨标准煤/万吨）</w:t>
      </w:r>
      <w:r>
        <w:rPr>
          <w:rFonts w:hint="eastAsia"/>
          <w:b w:val="0"/>
          <w:bCs w:val="0"/>
          <w:lang w:eastAsia="zh-CN"/>
        </w:rPr>
        <w:t>=</w:t>
      </w:r>
      <w:r>
        <w:rPr>
          <w:rFonts w:hint="eastAsia"/>
          <w:b w:val="0"/>
          <w:bCs w:val="0"/>
          <w:lang w:val="en-US" w:eastAsia="zh-CN"/>
        </w:rPr>
        <w:t>综合能源消耗量</w:t>
      </w:r>
      <w:r>
        <w:rPr>
          <w:rFonts w:hint="eastAsia"/>
          <w:b w:val="0"/>
          <w:bCs w:val="0"/>
          <w:lang w:eastAsia="zh-CN"/>
        </w:rPr>
        <w:t>（</w:t>
      </w:r>
      <w:r>
        <w:rPr>
          <w:rFonts w:hint="eastAsia"/>
          <w:b w:val="0"/>
          <w:bCs w:val="0"/>
          <w:lang w:val="en-US" w:eastAsia="zh-CN"/>
        </w:rPr>
        <w:t>吨标煤</w:t>
      </w:r>
      <w:r>
        <w:rPr>
          <w:rFonts w:hint="eastAsia"/>
          <w:b w:val="0"/>
          <w:bCs w:val="0"/>
          <w:lang w:eastAsia="zh-CN"/>
        </w:rPr>
        <w:t>）</w:t>
      </w:r>
      <w:r>
        <w:rPr>
          <w:rFonts w:hint="eastAsia"/>
          <w:b w:val="0"/>
          <w:bCs w:val="0"/>
          <w:lang w:val="en-US" w:eastAsia="zh-CN"/>
        </w:rPr>
        <w:t>/年</w:t>
      </w:r>
      <w:r>
        <w:rPr>
          <w:rFonts w:hint="eastAsia"/>
          <w:b w:val="0"/>
          <w:bCs w:val="0"/>
          <w:lang w:eastAsia="zh-CN"/>
        </w:rPr>
        <w:t>吞吐量（</w:t>
      </w:r>
      <w:r>
        <w:rPr>
          <w:rFonts w:hint="eastAsia"/>
          <w:b w:val="0"/>
          <w:bCs w:val="0"/>
          <w:lang w:val="en-US" w:eastAsia="zh-CN"/>
        </w:rPr>
        <w:t>万</w:t>
      </w:r>
      <w:r>
        <w:rPr>
          <w:rFonts w:hint="eastAsia"/>
          <w:b w:val="0"/>
          <w:bCs w:val="0"/>
          <w:lang w:eastAsia="zh-CN"/>
        </w:rPr>
        <w:t>吨）</w:t>
      </w:r>
    </w:p>
    <w:p>
      <w:pPr>
        <w:ind w:firstLine="560"/>
        <w:rPr>
          <w:rFonts w:hint="eastAsia"/>
          <w:b w:val="0"/>
          <w:bCs w:val="0"/>
          <w:lang w:eastAsia="zh-CN"/>
        </w:rPr>
      </w:pPr>
      <w:r>
        <w:rPr>
          <w:rFonts w:hint="eastAsia"/>
          <w:b w:val="0"/>
          <w:bCs w:val="0"/>
          <w:lang w:eastAsia="zh-CN"/>
        </w:rPr>
        <w:t>（</w:t>
      </w:r>
      <w:r>
        <w:rPr>
          <w:rFonts w:hint="eastAsia"/>
          <w:b w:val="0"/>
          <w:bCs w:val="0"/>
          <w:lang w:val="en-US" w:eastAsia="zh-CN"/>
        </w:rPr>
        <w:t>4</w:t>
      </w:r>
      <w:r>
        <w:rPr>
          <w:rFonts w:hint="eastAsia"/>
          <w:b w:val="0"/>
          <w:bCs w:val="0"/>
          <w:lang w:eastAsia="zh-CN"/>
        </w:rPr>
        <w:t>）二氧化碳排放量化表</w:t>
      </w:r>
    </w:p>
    <w:p>
      <w:pPr>
        <w:ind w:firstLine="560"/>
        <w:rPr>
          <w:rFonts w:hint="default"/>
          <w:b w:val="0"/>
          <w:bCs w:val="0"/>
          <w:lang w:val="en-US" w:eastAsia="zh-CN"/>
        </w:rPr>
      </w:pPr>
      <w:r>
        <w:rPr>
          <w:rFonts w:hint="eastAsia"/>
          <w:b w:val="0"/>
          <w:bCs w:val="0"/>
          <w:lang w:eastAsia="zh-CN"/>
        </w:rPr>
        <w:t>二氧化碳排放量</w:t>
      </w:r>
      <w:r>
        <w:rPr>
          <w:rFonts w:hint="eastAsia"/>
          <w:b w:val="0"/>
          <w:bCs w:val="0"/>
          <w:lang w:val="en-US" w:eastAsia="zh-CN"/>
        </w:rPr>
        <w:t>计算方法详见规范第5章核算方法。如选择实测燃料低位发热量，需提供燃料各批次低位发热量的检测报告；如不实测，需统一采用本规范附录A提供的参考值。同时需提供能源消耗量的相关证明文件。</w:t>
      </w:r>
    </w:p>
    <w:p>
      <w:pPr>
        <w:pStyle w:val="35"/>
        <w:ind w:left="0" w:leftChars="0" w:firstLine="0" w:firstLineChars="0"/>
        <w:jc w:val="both"/>
        <w:rPr>
          <w:rFonts w:hint="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fldChar w:fldCharType="begin"/>
    </w:r>
    <w:r>
      <w:instrText xml:space="preserve">PAGE   \* MERGEFORMAT</w:instrText>
    </w:r>
    <w:r>
      <w:fldChar w:fldCharType="separate"/>
    </w:r>
    <w:r>
      <w:rPr>
        <w:lang w:val="zh-CN"/>
      </w:rPr>
      <w:t>II</w:t>
    </w:r>
    <w:r>
      <w:rPr>
        <w:lang w:val="zh-CN"/>
      </w:rPr>
      <w:fldChar w:fldCharType="end"/>
    </w:r>
  </w:p>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rPr>
        <w:sz w:val="18"/>
      </w:rPr>
      <w:pict>
        <v:shape id="_x0000_s4097" o:spid="_x0000_s4097" o:spt="202" type="#_x0000_t202" style="position:absolute;left:0pt;margin-left:200.75pt;margin-top:0pt;height:16.3pt;width:32.85pt;mso-position-horizontal-relative:margin;z-index:251659264;mso-width-relative:page;mso-height-relative:page;" filled="f" stroked="f" coordsize="21600,21600">
          <v:path/>
          <v:fill on="f" focussize="0,0"/>
          <v:stroke on="f"/>
          <v:imagedata o:title=""/>
          <o:lock v:ext="edit" aspectratio="f"/>
          <v:textbox inset="0mm,0mm,0mm,0mm">
            <w:txbxContent>
              <w:p>
                <w:pPr>
                  <w:pStyle w:val="24"/>
                  <w:ind w:left="0" w:leftChars="0" w:firstLine="180" w:firstLineChars="100"/>
                  <w:jc w:val="both"/>
                </w:pPr>
                <w:r>
                  <w:fldChar w:fldCharType="begin"/>
                </w:r>
                <w:r>
                  <w:instrText xml:space="preserve">PAGE   \* MERGEFORMAT</w:instrText>
                </w:r>
                <w:r>
                  <w:fldChar w:fldCharType="separate"/>
                </w:r>
                <w:r>
                  <w:rPr>
                    <w:lang w:val="zh-CN"/>
                  </w:rPr>
                  <w:t>50</w:t>
                </w:r>
                <w:r>
                  <w:fldChar w:fldCharType="end"/>
                </w:r>
              </w:p>
            </w:txbxContent>
          </v:textbox>
        </v:shape>
      </w:pict>
    </w:r>
  </w:p>
  <w:p>
    <w:pPr>
      <w:pStyle w:val="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27249"/>
    <w:multiLevelType w:val="singleLevel"/>
    <w:tmpl w:val="09027249"/>
    <w:lvl w:ilvl="0" w:tentative="0">
      <w:start w:val="1"/>
      <w:numFmt w:val="decimal"/>
      <w:suff w:val="nothing"/>
      <w:lvlText w:val="（%1）"/>
      <w:lvlJc w:val="left"/>
    </w:lvl>
  </w:abstractNum>
  <w:abstractNum w:abstractNumId="1">
    <w:nsid w:val="0D983844"/>
    <w:multiLevelType w:val="multilevel"/>
    <w:tmpl w:val="0D983844"/>
    <w:lvl w:ilvl="0" w:tentative="0">
      <w:start w:val="1"/>
      <w:numFmt w:val="decimal"/>
      <w:pStyle w:val="17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1FC91163"/>
    <w:multiLevelType w:val="multilevel"/>
    <w:tmpl w:val="1FC91163"/>
    <w:lvl w:ilvl="0" w:tentative="0">
      <w:start w:val="1"/>
      <w:numFmt w:val="decimal"/>
      <w:pStyle w:val="17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7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46260FA"/>
    <w:multiLevelType w:val="multilevel"/>
    <w:tmpl w:val="646260FA"/>
    <w:lvl w:ilvl="0" w:tentative="0">
      <w:start w:val="1"/>
      <w:numFmt w:val="decimal"/>
      <w:pStyle w:val="17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diM2JjZjM1MDlhMjJjZDA5M2JmZDJjNjNiMDY5ZTEifQ=="/>
  </w:docVars>
  <w:rsids>
    <w:rsidRoot w:val="00973C3A"/>
    <w:rsid w:val="000316B1"/>
    <w:rsid w:val="000830CA"/>
    <w:rsid w:val="000C015A"/>
    <w:rsid w:val="00141151"/>
    <w:rsid w:val="0015205C"/>
    <w:rsid w:val="001A6621"/>
    <w:rsid w:val="001B3EA3"/>
    <w:rsid w:val="001E0A52"/>
    <w:rsid w:val="00257984"/>
    <w:rsid w:val="002B444F"/>
    <w:rsid w:val="002F3948"/>
    <w:rsid w:val="00306B51"/>
    <w:rsid w:val="00310E3A"/>
    <w:rsid w:val="00316FE0"/>
    <w:rsid w:val="0034596C"/>
    <w:rsid w:val="00346F55"/>
    <w:rsid w:val="00371FF9"/>
    <w:rsid w:val="003A101B"/>
    <w:rsid w:val="003A4658"/>
    <w:rsid w:val="00424998"/>
    <w:rsid w:val="0056398C"/>
    <w:rsid w:val="00564C92"/>
    <w:rsid w:val="00594201"/>
    <w:rsid w:val="006C1B69"/>
    <w:rsid w:val="00725BBA"/>
    <w:rsid w:val="007E3343"/>
    <w:rsid w:val="008032BF"/>
    <w:rsid w:val="008504A1"/>
    <w:rsid w:val="008A1F26"/>
    <w:rsid w:val="008E2672"/>
    <w:rsid w:val="00914049"/>
    <w:rsid w:val="0093027C"/>
    <w:rsid w:val="009662B3"/>
    <w:rsid w:val="00973C3A"/>
    <w:rsid w:val="0097555F"/>
    <w:rsid w:val="009B14BA"/>
    <w:rsid w:val="009D1BB4"/>
    <w:rsid w:val="00A0339E"/>
    <w:rsid w:val="00A84A39"/>
    <w:rsid w:val="00B178E6"/>
    <w:rsid w:val="00B264DB"/>
    <w:rsid w:val="00B372FD"/>
    <w:rsid w:val="00B44575"/>
    <w:rsid w:val="00B55A79"/>
    <w:rsid w:val="00B705E0"/>
    <w:rsid w:val="00BD4D94"/>
    <w:rsid w:val="00BE4E33"/>
    <w:rsid w:val="00C37CBB"/>
    <w:rsid w:val="00C61497"/>
    <w:rsid w:val="00C65C20"/>
    <w:rsid w:val="00C72C28"/>
    <w:rsid w:val="00CA0D69"/>
    <w:rsid w:val="00CA5BBB"/>
    <w:rsid w:val="00D61B51"/>
    <w:rsid w:val="00D84149"/>
    <w:rsid w:val="00DF6797"/>
    <w:rsid w:val="00E00474"/>
    <w:rsid w:val="00E15311"/>
    <w:rsid w:val="00E163F1"/>
    <w:rsid w:val="00E24858"/>
    <w:rsid w:val="00EF77B5"/>
    <w:rsid w:val="00F45C49"/>
    <w:rsid w:val="00F96C50"/>
    <w:rsid w:val="00FA597F"/>
    <w:rsid w:val="01013FE2"/>
    <w:rsid w:val="01080A12"/>
    <w:rsid w:val="01B0589B"/>
    <w:rsid w:val="01BA74B9"/>
    <w:rsid w:val="024F07D4"/>
    <w:rsid w:val="03136DC0"/>
    <w:rsid w:val="035E789D"/>
    <w:rsid w:val="042C2BBD"/>
    <w:rsid w:val="047A39D5"/>
    <w:rsid w:val="05801496"/>
    <w:rsid w:val="05F05097"/>
    <w:rsid w:val="060043AE"/>
    <w:rsid w:val="06346580"/>
    <w:rsid w:val="06C3223F"/>
    <w:rsid w:val="06F74C08"/>
    <w:rsid w:val="07877F80"/>
    <w:rsid w:val="09350F50"/>
    <w:rsid w:val="09565666"/>
    <w:rsid w:val="09C4539B"/>
    <w:rsid w:val="09DA1D03"/>
    <w:rsid w:val="0D197B03"/>
    <w:rsid w:val="0D2B61B4"/>
    <w:rsid w:val="0D3A7EF6"/>
    <w:rsid w:val="0D8314AB"/>
    <w:rsid w:val="0E4E61E8"/>
    <w:rsid w:val="0E611762"/>
    <w:rsid w:val="0E8B2877"/>
    <w:rsid w:val="0EFF5E56"/>
    <w:rsid w:val="0F17625E"/>
    <w:rsid w:val="0F2E6AE0"/>
    <w:rsid w:val="0F921C41"/>
    <w:rsid w:val="0FDA039E"/>
    <w:rsid w:val="102F75CC"/>
    <w:rsid w:val="11717530"/>
    <w:rsid w:val="121F2C61"/>
    <w:rsid w:val="12554729"/>
    <w:rsid w:val="12684394"/>
    <w:rsid w:val="12C34799"/>
    <w:rsid w:val="133F246E"/>
    <w:rsid w:val="1360023A"/>
    <w:rsid w:val="13D76641"/>
    <w:rsid w:val="140C4FE7"/>
    <w:rsid w:val="147A532B"/>
    <w:rsid w:val="153A1282"/>
    <w:rsid w:val="155B745B"/>
    <w:rsid w:val="158A1823"/>
    <w:rsid w:val="161E4D6F"/>
    <w:rsid w:val="16D72FBA"/>
    <w:rsid w:val="173A18EA"/>
    <w:rsid w:val="19A56C0A"/>
    <w:rsid w:val="1A4D4CFC"/>
    <w:rsid w:val="1AC049A6"/>
    <w:rsid w:val="1ACE411E"/>
    <w:rsid w:val="1C2829DE"/>
    <w:rsid w:val="1CAE190E"/>
    <w:rsid w:val="1DEA63F0"/>
    <w:rsid w:val="1E6550D8"/>
    <w:rsid w:val="1EE41101"/>
    <w:rsid w:val="20461503"/>
    <w:rsid w:val="205C0EC2"/>
    <w:rsid w:val="20AB6722"/>
    <w:rsid w:val="21D2614A"/>
    <w:rsid w:val="2255094C"/>
    <w:rsid w:val="234C07DB"/>
    <w:rsid w:val="2386059A"/>
    <w:rsid w:val="238A66F0"/>
    <w:rsid w:val="23F52004"/>
    <w:rsid w:val="241067BA"/>
    <w:rsid w:val="2504647A"/>
    <w:rsid w:val="25B85B14"/>
    <w:rsid w:val="260D5FFF"/>
    <w:rsid w:val="263E1462"/>
    <w:rsid w:val="26DD380F"/>
    <w:rsid w:val="27C60B5C"/>
    <w:rsid w:val="27CB40EB"/>
    <w:rsid w:val="28BB3AF3"/>
    <w:rsid w:val="28EE5FB3"/>
    <w:rsid w:val="293606CF"/>
    <w:rsid w:val="29A3491E"/>
    <w:rsid w:val="2BD8152F"/>
    <w:rsid w:val="2CFA75B6"/>
    <w:rsid w:val="2D5B159F"/>
    <w:rsid w:val="2E0406A2"/>
    <w:rsid w:val="2E104079"/>
    <w:rsid w:val="2E9C43C4"/>
    <w:rsid w:val="2EB4379F"/>
    <w:rsid w:val="2F226128"/>
    <w:rsid w:val="2F7215C9"/>
    <w:rsid w:val="30DC319E"/>
    <w:rsid w:val="30E95FE9"/>
    <w:rsid w:val="31634A54"/>
    <w:rsid w:val="320373B9"/>
    <w:rsid w:val="3244119E"/>
    <w:rsid w:val="32504DAF"/>
    <w:rsid w:val="331C3D26"/>
    <w:rsid w:val="33294488"/>
    <w:rsid w:val="33C81613"/>
    <w:rsid w:val="359A7184"/>
    <w:rsid w:val="360B53C3"/>
    <w:rsid w:val="36844496"/>
    <w:rsid w:val="374D6E40"/>
    <w:rsid w:val="37982234"/>
    <w:rsid w:val="37CB172E"/>
    <w:rsid w:val="38C20726"/>
    <w:rsid w:val="39C04D8D"/>
    <w:rsid w:val="3A1F1C07"/>
    <w:rsid w:val="3A5570C7"/>
    <w:rsid w:val="3A58681E"/>
    <w:rsid w:val="3A611C6B"/>
    <w:rsid w:val="3A914264"/>
    <w:rsid w:val="3B766D18"/>
    <w:rsid w:val="3BDD79C3"/>
    <w:rsid w:val="3C793CDB"/>
    <w:rsid w:val="3C8C6A6A"/>
    <w:rsid w:val="3D2A703F"/>
    <w:rsid w:val="3D913D60"/>
    <w:rsid w:val="3DF00555"/>
    <w:rsid w:val="3E3E2731"/>
    <w:rsid w:val="3ED43334"/>
    <w:rsid w:val="3EF03B3F"/>
    <w:rsid w:val="3F6A2CED"/>
    <w:rsid w:val="400D4298"/>
    <w:rsid w:val="404C4E33"/>
    <w:rsid w:val="407F35FC"/>
    <w:rsid w:val="41214BFD"/>
    <w:rsid w:val="418B3692"/>
    <w:rsid w:val="41A92E87"/>
    <w:rsid w:val="41BD00F3"/>
    <w:rsid w:val="423F17DF"/>
    <w:rsid w:val="42641246"/>
    <w:rsid w:val="432E070E"/>
    <w:rsid w:val="43530C5B"/>
    <w:rsid w:val="43546A65"/>
    <w:rsid w:val="43D74BA7"/>
    <w:rsid w:val="442C18EF"/>
    <w:rsid w:val="443C0628"/>
    <w:rsid w:val="44736982"/>
    <w:rsid w:val="454F7F8B"/>
    <w:rsid w:val="4605082E"/>
    <w:rsid w:val="46486AC2"/>
    <w:rsid w:val="47140150"/>
    <w:rsid w:val="47BB5FCB"/>
    <w:rsid w:val="47D82D59"/>
    <w:rsid w:val="484B577E"/>
    <w:rsid w:val="48B9195A"/>
    <w:rsid w:val="48E85B59"/>
    <w:rsid w:val="494B6CBB"/>
    <w:rsid w:val="4A351BCB"/>
    <w:rsid w:val="4A382F4E"/>
    <w:rsid w:val="4B0B2BBE"/>
    <w:rsid w:val="4B2129AE"/>
    <w:rsid w:val="4C7A2288"/>
    <w:rsid w:val="4C985505"/>
    <w:rsid w:val="4CC16CF4"/>
    <w:rsid w:val="4D7D6F47"/>
    <w:rsid w:val="4DDB6AF8"/>
    <w:rsid w:val="4DE3721B"/>
    <w:rsid w:val="4E2B70B1"/>
    <w:rsid w:val="4E8645D6"/>
    <w:rsid w:val="4FD6379A"/>
    <w:rsid w:val="51287979"/>
    <w:rsid w:val="523A0CD8"/>
    <w:rsid w:val="53710431"/>
    <w:rsid w:val="54D508C5"/>
    <w:rsid w:val="55F36710"/>
    <w:rsid w:val="582A4BB3"/>
    <w:rsid w:val="5846631B"/>
    <w:rsid w:val="585613D6"/>
    <w:rsid w:val="58CB1386"/>
    <w:rsid w:val="590A1283"/>
    <w:rsid w:val="599966CD"/>
    <w:rsid w:val="5A5A6D5E"/>
    <w:rsid w:val="5AD76D04"/>
    <w:rsid w:val="5B3D6F6E"/>
    <w:rsid w:val="5CCC4A94"/>
    <w:rsid w:val="5D3844EE"/>
    <w:rsid w:val="5DA46ED0"/>
    <w:rsid w:val="5DED0026"/>
    <w:rsid w:val="5E766130"/>
    <w:rsid w:val="5F595558"/>
    <w:rsid w:val="5FE64BF0"/>
    <w:rsid w:val="60B95007"/>
    <w:rsid w:val="60E125F9"/>
    <w:rsid w:val="61B47251"/>
    <w:rsid w:val="62E57D9E"/>
    <w:rsid w:val="6370766F"/>
    <w:rsid w:val="643213FB"/>
    <w:rsid w:val="643C5246"/>
    <w:rsid w:val="65601347"/>
    <w:rsid w:val="65F26732"/>
    <w:rsid w:val="66660BAB"/>
    <w:rsid w:val="676271CF"/>
    <w:rsid w:val="67B72408"/>
    <w:rsid w:val="67F2363D"/>
    <w:rsid w:val="680D1544"/>
    <w:rsid w:val="68406D43"/>
    <w:rsid w:val="6848037C"/>
    <w:rsid w:val="695A39F7"/>
    <w:rsid w:val="69694D2E"/>
    <w:rsid w:val="696C085C"/>
    <w:rsid w:val="696E4211"/>
    <w:rsid w:val="6A212F10"/>
    <w:rsid w:val="6A7C30E1"/>
    <w:rsid w:val="6AD64A21"/>
    <w:rsid w:val="6B0307F7"/>
    <w:rsid w:val="6B15282D"/>
    <w:rsid w:val="6B2F0001"/>
    <w:rsid w:val="6B3727A3"/>
    <w:rsid w:val="6B6A5699"/>
    <w:rsid w:val="6BEB1F0C"/>
    <w:rsid w:val="6C034580"/>
    <w:rsid w:val="6CC73838"/>
    <w:rsid w:val="6CDF1345"/>
    <w:rsid w:val="6CFB4829"/>
    <w:rsid w:val="6D2D7D74"/>
    <w:rsid w:val="6F9600A4"/>
    <w:rsid w:val="6FAB1F91"/>
    <w:rsid w:val="6FC0654C"/>
    <w:rsid w:val="6FCA701E"/>
    <w:rsid w:val="700D4274"/>
    <w:rsid w:val="70805A23"/>
    <w:rsid w:val="70C6670F"/>
    <w:rsid w:val="711B11D0"/>
    <w:rsid w:val="712A31A3"/>
    <w:rsid w:val="71610EA9"/>
    <w:rsid w:val="717707B7"/>
    <w:rsid w:val="72220625"/>
    <w:rsid w:val="72294EFE"/>
    <w:rsid w:val="726C214B"/>
    <w:rsid w:val="7344120A"/>
    <w:rsid w:val="73E81D25"/>
    <w:rsid w:val="74531E52"/>
    <w:rsid w:val="74B8110D"/>
    <w:rsid w:val="74D7334B"/>
    <w:rsid w:val="74FB25D4"/>
    <w:rsid w:val="76160939"/>
    <w:rsid w:val="761F0029"/>
    <w:rsid w:val="766807A4"/>
    <w:rsid w:val="77B06523"/>
    <w:rsid w:val="786C4D10"/>
    <w:rsid w:val="793D4922"/>
    <w:rsid w:val="796B380B"/>
    <w:rsid w:val="796D1736"/>
    <w:rsid w:val="7ACA3634"/>
    <w:rsid w:val="7BC260B9"/>
    <w:rsid w:val="7D441973"/>
    <w:rsid w:val="7DB55ED6"/>
    <w:rsid w:val="7E3A63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46"/>
    <w:qFormat/>
    <w:uiPriority w:val="0"/>
    <w:pPr>
      <w:keepNext/>
      <w:keepLines/>
      <w:spacing w:before="320" w:after="320"/>
      <w:ind w:firstLine="0" w:firstLineChars="0"/>
      <w:jc w:val="center"/>
      <w:outlineLvl w:val="0"/>
    </w:pPr>
    <w:rPr>
      <w:b/>
      <w:bCs/>
      <w:kern w:val="44"/>
      <w:sz w:val="36"/>
      <w:szCs w:val="44"/>
    </w:rPr>
  </w:style>
  <w:style w:type="paragraph" w:styleId="3">
    <w:name w:val="heading 2"/>
    <w:basedOn w:val="1"/>
    <w:next w:val="1"/>
    <w:link w:val="47"/>
    <w:qFormat/>
    <w:uiPriority w:val="0"/>
    <w:pPr>
      <w:keepNext/>
      <w:keepLines/>
      <w:spacing w:before="240" w:after="240"/>
      <w:ind w:firstLine="0" w:firstLineChars="0"/>
      <w:outlineLvl w:val="1"/>
    </w:pPr>
    <w:rPr>
      <w:b/>
      <w:bCs/>
      <w:kern w:val="0"/>
      <w:sz w:val="32"/>
      <w:szCs w:val="32"/>
    </w:rPr>
  </w:style>
  <w:style w:type="paragraph" w:styleId="4">
    <w:name w:val="heading 3"/>
    <w:basedOn w:val="1"/>
    <w:next w:val="1"/>
    <w:link w:val="48"/>
    <w:qFormat/>
    <w:uiPriority w:val="0"/>
    <w:pPr>
      <w:keepNext/>
      <w:keepLines/>
      <w:spacing w:before="200" w:after="200"/>
      <w:ind w:firstLine="0" w:firstLineChars="0"/>
      <w:outlineLvl w:val="2"/>
    </w:pPr>
    <w:rPr>
      <w:b/>
      <w:bCs/>
      <w:kern w:val="0"/>
      <w:sz w:val="30"/>
      <w:szCs w:val="32"/>
    </w:rPr>
  </w:style>
  <w:style w:type="paragraph" w:styleId="5">
    <w:name w:val="heading 4"/>
    <w:basedOn w:val="1"/>
    <w:next w:val="1"/>
    <w:link w:val="49"/>
    <w:qFormat/>
    <w:uiPriority w:val="0"/>
    <w:pPr>
      <w:keepNext/>
      <w:keepLines/>
      <w:spacing w:before="280" w:after="290" w:line="377" w:lineRule="auto"/>
      <w:ind w:firstLine="0" w:firstLineChars="0"/>
      <w:outlineLvl w:val="3"/>
    </w:pPr>
    <w:rPr>
      <w:rFonts w:ascii="Calibri Light" w:hAnsi="Calibri Light"/>
      <w:b/>
      <w:bCs/>
      <w:szCs w:val="28"/>
    </w:rPr>
  </w:style>
  <w:style w:type="paragraph" w:styleId="6">
    <w:name w:val="heading 5"/>
    <w:basedOn w:val="1"/>
    <w:next w:val="1"/>
    <w:link w:val="50"/>
    <w:qFormat/>
    <w:uiPriority w:val="9"/>
    <w:pPr>
      <w:keepNext/>
      <w:keepLines/>
      <w:jc w:val="center"/>
      <w:outlineLvl w:val="4"/>
    </w:pPr>
    <w:rPr>
      <w:b/>
      <w:bCs/>
      <w:sz w:val="24"/>
      <w:szCs w:val="28"/>
    </w:rPr>
  </w:style>
  <w:style w:type="paragraph" w:styleId="7">
    <w:name w:val="heading 6"/>
    <w:basedOn w:val="1"/>
    <w:next w:val="1"/>
    <w:link w:val="51"/>
    <w:qFormat/>
    <w:uiPriority w:val="9"/>
    <w:pPr>
      <w:keepNext/>
      <w:keepLines/>
      <w:spacing w:before="240" w:after="64" w:line="320" w:lineRule="auto"/>
      <w:outlineLvl w:val="5"/>
    </w:pPr>
    <w:rPr>
      <w:rFonts w:ascii="Cambria" w:hAnsi="Cambria"/>
      <w:b/>
      <w:bCs/>
      <w:sz w:val="24"/>
      <w:szCs w:val="24"/>
    </w:rPr>
  </w:style>
  <w:style w:type="character" w:default="1" w:styleId="39">
    <w:name w:val="Default Paragraph Font"/>
    <w:unhideWhenUsed/>
    <w:qFormat/>
    <w:uiPriority w:val="1"/>
  </w:style>
  <w:style w:type="table" w:default="1" w:styleId="3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8">
    <w:name w:val="toc 7"/>
    <w:basedOn w:val="1"/>
    <w:next w:val="1"/>
    <w:qFormat/>
    <w:uiPriority w:val="39"/>
    <w:pPr>
      <w:spacing w:line="240" w:lineRule="auto"/>
      <w:ind w:left="2520" w:leftChars="1200" w:firstLine="0" w:firstLineChars="0"/>
    </w:pPr>
    <w:rPr>
      <w:rFonts w:ascii="Calibri" w:hAnsi="Calibri"/>
      <w:sz w:val="21"/>
      <w:szCs w:val="22"/>
    </w:rPr>
  </w:style>
  <w:style w:type="paragraph" w:styleId="9">
    <w:name w:val="Normal Indent"/>
    <w:basedOn w:val="1"/>
    <w:qFormat/>
    <w:uiPriority w:val="0"/>
    <w:pPr>
      <w:ind w:firstLine="420"/>
    </w:pPr>
  </w:style>
  <w:style w:type="paragraph" w:styleId="10">
    <w:name w:val="caption"/>
    <w:basedOn w:val="1"/>
    <w:next w:val="1"/>
    <w:qFormat/>
    <w:uiPriority w:val="35"/>
    <w:pPr>
      <w:jc w:val="center"/>
    </w:pPr>
    <w:rPr>
      <w:b/>
    </w:rPr>
  </w:style>
  <w:style w:type="paragraph" w:styleId="11">
    <w:name w:val="Document Map"/>
    <w:basedOn w:val="1"/>
    <w:link w:val="56"/>
    <w:qFormat/>
    <w:uiPriority w:val="0"/>
    <w:rPr>
      <w:rFonts w:ascii="宋体"/>
      <w:kern w:val="0"/>
      <w:sz w:val="18"/>
      <w:szCs w:val="18"/>
    </w:rPr>
  </w:style>
  <w:style w:type="paragraph" w:styleId="12">
    <w:name w:val="annotation text"/>
    <w:basedOn w:val="1"/>
    <w:link w:val="57"/>
    <w:qFormat/>
    <w:uiPriority w:val="0"/>
    <w:pPr>
      <w:jc w:val="left"/>
    </w:pPr>
    <w:rPr>
      <w:kern w:val="0"/>
      <w:sz w:val="20"/>
    </w:rPr>
  </w:style>
  <w:style w:type="paragraph" w:styleId="13">
    <w:name w:val="Body Text 3"/>
    <w:basedOn w:val="1"/>
    <w:link w:val="133"/>
    <w:qFormat/>
    <w:uiPriority w:val="0"/>
    <w:pPr>
      <w:spacing w:after="120"/>
    </w:pPr>
    <w:rPr>
      <w:sz w:val="16"/>
    </w:rPr>
  </w:style>
  <w:style w:type="paragraph" w:styleId="14">
    <w:name w:val="Closing"/>
    <w:basedOn w:val="1"/>
    <w:link w:val="141"/>
    <w:qFormat/>
    <w:uiPriority w:val="0"/>
    <w:pPr>
      <w:ind w:left="100" w:leftChars="2100"/>
    </w:pPr>
    <w:rPr>
      <w:sz w:val="24"/>
    </w:rPr>
  </w:style>
  <w:style w:type="paragraph" w:styleId="15">
    <w:name w:val="Body Text"/>
    <w:basedOn w:val="1"/>
    <w:link w:val="63"/>
    <w:qFormat/>
    <w:uiPriority w:val="0"/>
    <w:pPr>
      <w:ind w:firstLine="425"/>
    </w:pPr>
    <w:rPr>
      <w:spacing w:val="4"/>
      <w:sz w:val="24"/>
    </w:rPr>
  </w:style>
  <w:style w:type="paragraph" w:styleId="16">
    <w:name w:val="Body Text Indent"/>
    <w:basedOn w:val="1"/>
    <w:link w:val="64"/>
    <w:qFormat/>
    <w:uiPriority w:val="0"/>
    <w:pPr>
      <w:ind w:firstLine="538" w:firstLineChars="192"/>
    </w:pPr>
    <w:rPr>
      <w:szCs w:val="24"/>
    </w:rPr>
  </w:style>
  <w:style w:type="paragraph" w:styleId="17">
    <w:name w:val="toc 5"/>
    <w:basedOn w:val="1"/>
    <w:next w:val="1"/>
    <w:qFormat/>
    <w:uiPriority w:val="39"/>
    <w:pPr>
      <w:spacing w:line="240" w:lineRule="auto"/>
      <w:ind w:left="1680" w:leftChars="800" w:firstLine="0" w:firstLineChars="0"/>
    </w:pPr>
    <w:rPr>
      <w:rFonts w:ascii="Calibri" w:hAnsi="Calibri"/>
      <w:sz w:val="21"/>
      <w:szCs w:val="22"/>
    </w:rPr>
  </w:style>
  <w:style w:type="paragraph" w:styleId="18">
    <w:name w:val="toc 3"/>
    <w:basedOn w:val="1"/>
    <w:next w:val="1"/>
    <w:qFormat/>
    <w:uiPriority w:val="39"/>
    <w:pPr>
      <w:ind w:left="840" w:leftChars="400"/>
    </w:pPr>
  </w:style>
  <w:style w:type="paragraph" w:styleId="19">
    <w:name w:val="Plain Text"/>
    <w:basedOn w:val="1"/>
    <w:link w:val="142"/>
    <w:qFormat/>
    <w:uiPriority w:val="0"/>
    <w:rPr>
      <w:rFonts w:ascii="宋体" w:hAnsi="Courier New"/>
    </w:rPr>
  </w:style>
  <w:style w:type="paragraph" w:styleId="20">
    <w:name w:val="toc 8"/>
    <w:basedOn w:val="1"/>
    <w:next w:val="1"/>
    <w:qFormat/>
    <w:uiPriority w:val="39"/>
    <w:pPr>
      <w:spacing w:line="240" w:lineRule="auto"/>
      <w:ind w:left="2940" w:leftChars="1400" w:firstLine="0" w:firstLineChars="0"/>
    </w:pPr>
    <w:rPr>
      <w:rFonts w:ascii="Calibri" w:hAnsi="Calibri"/>
      <w:sz w:val="21"/>
      <w:szCs w:val="22"/>
    </w:rPr>
  </w:style>
  <w:style w:type="paragraph" w:styleId="21">
    <w:name w:val="Date"/>
    <w:basedOn w:val="1"/>
    <w:next w:val="1"/>
    <w:link w:val="54"/>
    <w:qFormat/>
    <w:uiPriority w:val="0"/>
    <w:pPr>
      <w:ind w:left="100" w:leftChars="2500"/>
    </w:pPr>
    <w:rPr>
      <w:kern w:val="0"/>
      <w:sz w:val="20"/>
    </w:rPr>
  </w:style>
  <w:style w:type="paragraph" w:styleId="22">
    <w:name w:val="Body Text Indent 2"/>
    <w:basedOn w:val="1"/>
    <w:link w:val="62"/>
    <w:qFormat/>
    <w:uiPriority w:val="0"/>
    <w:pPr>
      <w:ind w:left="425"/>
    </w:pPr>
    <w:rPr>
      <w:sz w:val="24"/>
    </w:rPr>
  </w:style>
  <w:style w:type="paragraph" w:styleId="23">
    <w:name w:val="Balloon Text"/>
    <w:basedOn w:val="1"/>
    <w:link w:val="55"/>
    <w:qFormat/>
    <w:uiPriority w:val="0"/>
    <w:rPr>
      <w:kern w:val="0"/>
      <w:sz w:val="18"/>
      <w:szCs w:val="18"/>
    </w:rPr>
  </w:style>
  <w:style w:type="paragraph" w:styleId="24">
    <w:name w:val="footer"/>
    <w:basedOn w:val="1"/>
    <w:link w:val="45"/>
    <w:qFormat/>
    <w:uiPriority w:val="99"/>
    <w:pPr>
      <w:tabs>
        <w:tab w:val="center" w:pos="4153"/>
        <w:tab w:val="right" w:pos="8306"/>
      </w:tabs>
      <w:snapToGrid w:val="0"/>
      <w:jc w:val="left"/>
    </w:pPr>
    <w:rPr>
      <w:sz w:val="18"/>
      <w:szCs w:val="18"/>
    </w:rPr>
  </w:style>
  <w:style w:type="paragraph" w:styleId="25">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toc 4"/>
    <w:basedOn w:val="1"/>
    <w:next w:val="1"/>
    <w:qFormat/>
    <w:uiPriority w:val="39"/>
    <w:pPr>
      <w:spacing w:line="240" w:lineRule="auto"/>
      <w:ind w:left="1260" w:leftChars="600" w:firstLine="0" w:firstLineChars="0"/>
    </w:pPr>
    <w:rPr>
      <w:rFonts w:ascii="Calibri" w:hAnsi="Calibri"/>
      <w:sz w:val="21"/>
      <w:szCs w:val="22"/>
    </w:rPr>
  </w:style>
  <w:style w:type="paragraph" w:styleId="28">
    <w:name w:val="footnote text"/>
    <w:basedOn w:val="1"/>
    <w:link w:val="144"/>
    <w:qFormat/>
    <w:uiPriority w:val="0"/>
    <w:pPr>
      <w:snapToGrid w:val="0"/>
      <w:jc w:val="left"/>
    </w:pPr>
    <w:rPr>
      <w:rFonts w:ascii="Calibri" w:hAnsi="Calibri" w:cs="宋体"/>
      <w:sz w:val="18"/>
      <w:szCs w:val="22"/>
    </w:rPr>
  </w:style>
  <w:style w:type="paragraph" w:styleId="29">
    <w:name w:val="toc 6"/>
    <w:basedOn w:val="1"/>
    <w:next w:val="1"/>
    <w:qFormat/>
    <w:uiPriority w:val="39"/>
    <w:pPr>
      <w:spacing w:line="240" w:lineRule="auto"/>
      <w:ind w:left="2100" w:leftChars="1000" w:firstLine="0" w:firstLineChars="0"/>
    </w:pPr>
    <w:rPr>
      <w:rFonts w:ascii="Calibri" w:hAnsi="Calibri"/>
      <w:sz w:val="21"/>
      <w:szCs w:val="22"/>
    </w:rPr>
  </w:style>
  <w:style w:type="paragraph" w:styleId="30">
    <w:name w:val="Body Text Indent 3"/>
    <w:basedOn w:val="1"/>
    <w:link w:val="65"/>
    <w:qFormat/>
    <w:uiPriority w:val="0"/>
    <w:pPr>
      <w:ind w:firstLine="612"/>
    </w:pPr>
    <w:rPr>
      <w:rFonts w:ascii="楷体" w:eastAsia="楷体"/>
      <w:bCs/>
      <w:szCs w:val="24"/>
    </w:rPr>
  </w:style>
  <w:style w:type="paragraph" w:styleId="31">
    <w:name w:val="toc 2"/>
    <w:basedOn w:val="1"/>
    <w:next w:val="1"/>
    <w:qFormat/>
    <w:uiPriority w:val="39"/>
    <w:pPr>
      <w:ind w:left="420" w:leftChars="200"/>
    </w:pPr>
  </w:style>
  <w:style w:type="paragraph" w:styleId="32">
    <w:name w:val="toc 9"/>
    <w:basedOn w:val="1"/>
    <w:next w:val="1"/>
    <w:qFormat/>
    <w:uiPriority w:val="39"/>
    <w:pPr>
      <w:spacing w:line="240" w:lineRule="auto"/>
      <w:ind w:left="3360" w:leftChars="1600" w:firstLine="0" w:firstLineChars="0"/>
    </w:pPr>
    <w:rPr>
      <w:rFonts w:ascii="Calibri" w:hAnsi="Calibri"/>
      <w:sz w:val="21"/>
      <w:szCs w:val="22"/>
    </w:rPr>
  </w:style>
  <w:style w:type="paragraph" w:styleId="33">
    <w:name w:val="Body Text 2"/>
    <w:basedOn w:val="1"/>
    <w:link w:val="119"/>
    <w:qFormat/>
    <w:uiPriority w:val="0"/>
    <w:pPr>
      <w:spacing w:line="300" w:lineRule="auto"/>
    </w:pPr>
    <w:rPr>
      <w:szCs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Title"/>
    <w:basedOn w:val="1"/>
    <w:qFormat/>
    <w:uiPriority w:val="0"/>
    <w:pPr>
      <w:jc w:val="center"/>
      <w:outlineLvl w:val="0"/>
    </w:pPr>
    <w:rPr>
      <w:rFonts w:ascii="?????_GBK" w:hAnsi="?????_GBK" w:eastAsia="Times New Roman" w:cs="?????_GBK"/>
      <w:sz w:val="44"/>
      <w:szCs w:val="44"/>
    </w:rPr>
  </w:style>
  <w:style w:type="paragraph" w:styleId="36">
    <w:name w:val="annotation subject"/>
    <w:basedOn w:val="12"/>
    <w:next w:val="12"/>
    <w:link w:val="58"/>
    <w:qFormat/>
    <w:uiPriority w:val="0"/>
    <w:rPr>
      <w:b/>
      <w:bCs/>
    </w:rPr>
  </w:style>
  <w:style w:type="table" w:styleId="38">
    <w:name w:val="Table Grid"/>
    <w:basedOn w:val="37"/>
    <w:qFormat/>
    <w:uiPriority w:val="0"/>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page number"/>
    <w:qFormat/>
    <w:uiPriority w:val="0"/>
    <w:rPr>
      <w:rFonts w:cs="Times New Roman"/>
    </w:rPr>
  </w:style>
  <w:style w:type="character" w:styleId="41">
    <w:name w:val="FollowedHyperlink"/>
    <w:qFormat/>
    <w:uiPriority w:val="0"/>
    <w:rPr>
      <w:color w:val="800080"/>
      <w:u w:val="single"/>
    </w:rPr>
  </w:style>
  <w:style w:type="character" w:styleId="42">
    <w:name w:val="Hyperlink"/>
    <w:qFormat/>
    <w:uiPriority w:val="99"/>
    <w:rPr>
      <w:color w:val="0563C1"/>
      <w:u w:val="single"/>
    </w:rPr>
  </w:style>
  <w:style w:type="character" w:styleId="43">
    <w:name w:val="annotation reference"/>
    <w:qFormat/>
    <w:uiPriority w:val="0"/>
    <w:rPr>
      <w:sz w:val="21"/>
      <w:szCs w:val="21"/>
    </w:rPr>
  </w:style>
  <w:style w:type="character" w:customStyle="1" w:styleId="44">
    <w:name w:val="页眉 Char"/>
    <w:basedOn w:val="39"/>
    <w:link w:val="25"/>
    <w:qFormat/>
    <w:uiPriority w:val="99"/>
    <w:rPr>
      <w:sz w:val="18"/>
      <w:szCs w:val="18"/>
    </w:rPr>
  </w:style>
  <w:style w:type="character" w:customStyle="1" w:styleId="45">
    <w:name w:val="页脚 Char"/>
    <w:basedOn w:val="39"/>
    <w:link w:val="24"/>
    <w:qFormat/>
    <w:uiPriority w:val="99"/>
    <w:rPr>
      <w:sz w:val="18"/>
      <w:szCs w:val="18"/>
    </w:rPr>
  </w:style>
  <w:style w:type="character" w:customStyle="1" w:styleId="46">
    <w:name w:val="标题 1 Char"/>
    <w:basedOn w:val="39"/>
    <w:link w:val="2"/>
    <w:qFormat/>
    <w:uiPriority w:val="0"/>
    <w:rPr>
      <w:rFonts w:ascii="Times New Roman" w:hAnsi="Times New Roman" w:eastAsia="宋体" w:cs="Times New Roman"/>
      <w:b/>
      <w:bCs/>
      <w:kern w:val="44"/>
      <w:sz w:val="36"/>
      <w:szCs w:val="44"/>
    </w:rPr>
  </w:style>
  <w:style w:type="character" w:customStyle="1" w:styleId="47">
    <w:name w:val="标题 2 Char"/>
    <w:basedOn w:val="39"/>
    <w:link w:val="3"/>
    <w:qFormat/>
    <w:uiPriority w:val="0"/>
    <w:rPr>
      <w:rFonts w:ascii="Times New Roman" w:hAnsi="Times New Roman" w:eastAsia="宋体" w:cs="Times New Roman"/>
      <w:b/>
      <w:bCs/>
      <w:kern w:val="0"/>
      <w:sz w:val="32"/>
      <w:szCs w:val="32"/>
    </w:rPr>
  </w:style>
  <w:style w:type="character" w:customStyle="1" w:styleId="48">
    <w:name w:val="标题 3 Char"/>
    <w:basedOn w:val="39"/>
    <w:link w:val="4"/>
    <w:qFormat/>
    <w:uiPriority w:val="0"/>
    <w:rPr>
      <w:rFonts w:ascii="Times New Roman" w:hAnsi="Times New Roman" w:eastAsia="宋体" w:cs="Times New Roman"/>
      <w:b/>
      <w:bCs/>
      <w:kern w:val="0"/>
      <w:sz w:val="30"/>
      <w:szCs w:val="32"/>
    </w:rPr>
  </w:style>
  <w:style w:type="character" w:customStyle="1" w:styleId="49">
    <w:name w:val="标题 4 Char"/>
    <w:basedOn w:val="39"/>
    <w:link w:val="5"/>
    <w:qFormat/>
    <w:uiPriority w:val="0"/>
    <w:rPr>
      <w:rFonts w:ascii="Calibri Light" w:hAnsi="Calibri Light" w:eastAsia="宋体" w:cs="Times New Roman"/>
      <w:b/>
      <w:bCs/>
      <w:sz w:val="28"/>
      <w:szCs w:val="28"/>
    </w:rPr>
  </w:style>
  <w:style w:type="character" w:customStyle="1" w:styleId="50">
    <w:name w:val="标题 5 Char"/>
    <w:basedOn w:val="39"/>
    <w:link w:val="6"/>
    <w:qFormat/>
    <w:uiPriority w:val="9"/>
    <w:rPr>
      <w:rFonts w:ascii="Times New Roman" w:hAnsi="Times New Roman" w:eastAsia="宋体" w:cs="Times New Roman"/>
      <w:b/>
      <w:bCs/>
      <w:sz w:val="24"/>
      <w:szCs w:val="28"/>
    </w:rPr>
  </w:style>
  <w:style w:type="character" w:customStyle="1" w:styleId="51">
    <w:name w:val="标题 6 Char"/>
    <w:basedOn w:val="39"/>
    <w:link w:val="7"/>
    <w:qFormat/>
    <w:uiPriority w:val="9"/>
    <w:rPr>
      <w:rFonts w:ascii="Cambria" w:hAnsi="Cambria" w:eastAsia="宋体" w:cs="Times New Roman"/>
      <w:b/>
      <w:bCs/>
      <w:sz w:val="24"/>
      <w:szCs w:val="24"/>
    </w:rPr>
  </w:style>
  <w:style w:type="paragraph" w:customStyle="1" w:styleId="52">
    <w:name w:val="Char"/>
    <w:basedOn w:val="1"/>
    <w:qFormat/>
    <w:uiPriority w:val="0"/>
    <w:pPr>
      <w:widowControl/>
      <w:spacing w:after="160" w:line="240" w:lineRule="exact"/>
      <w:jc w:val="left"/>
    </w:pPr>
  </w:style>
  <w:style w:type="paragraph" w:customStyle="1" w:styleId="53">
    <w:name w:val="Char1"/>
    <w:basedOn w:val="1"/>
    <w:qFormat/>
    <w:uiPriority w:val="0"/>
    <w:pPr>
      <w:widowControl/>
      <w:spacing w:after="160" w:line="240" w:lineRule="exact"/>
      <w:jc w:val="left"/>
    </w:pPr>
  </w:style>
  <w:style w:type="character" w:customStyle="1" w:styleId="54">
    <w:name w:val="日期 Char"/>
    <w:basedOn w:val="39"/>
    <w:link w:val="21"/>
    <w:qFormat/>
    <w:uiPriority w:val="0"/>
    <w:rPr>
      <w:rFonts w:ascii="Times New Roman" w:hAnsi="Times New Roman" w:eastAsia="宋体" w:cs="Times New Roman"/>
      <w:kern w:val="0"/>
      <w:sz w:val="20"/>
      <w:szCs w:val="20"/>
    </w:rPr>
  </w:style>
  <w:style w:type="character" w:customStyle="1" w:styleId="55">
    <w:name w:val="批注框文本 Char"/>
    <w:basedOn w:val="39"/>
    <w:link w:val="23"/>
    <w:qFormat/>
    <w:uiPriority w:val="0"/>
    <w:rPr>
      <w:rFonts w:ascii="Times New Roman" w:hAnsi="Times New Roman" w:eastAsia="宋体" w:cs="Times New Roman"/>
      <w:kern w:val="0"/>
      <w:sz w:val="18"/>
      <w:szCs w:val="18"/>
    </w:rPr>
  </w:style>
  <w:style w:type="character" w:customStyle="1" w:styleId="56">
    <w:name w:val="文档结构图 Char"/>
    <w:basedOn w:val="39"/>
    <w:link w:val="11"/>
    <w:qFormat/>
    <w:uiPriority w:val="0"/>
    <w:rPr>
      <w:rFonts w:ascii="宋体" w:hAnsi="Times New Roman" w:eastAsia="宋体" w:cs="Times New Roman"/>
      <w:kern w:val="0"/>
      <w:sz w:val="18"/>
      <w:szCs w:val="18"/>
    </w:rPr>
  </w:style>
  <w:style w:type="character" w:customStyle="1" w:styleId="57">
    <w:name w:val="批注文字 Char"/>
    <w:basedOn w:val="39"/>
    <w:link w:val="12"/>
    <w:qFormat/>
    <w:uiPriority w:val="0"/>
    <w:rPr>
      <w:rFonts w:ascii="Times New Roman" w:hAnsi="Times New Roman" w:eastAsia="宋体" w:cs="Times New Roman"/>
      <w:kern w:val="0"/>
      <w:sz w:val="20"/>
      <w:szCs w:val="20"/>
    </w:rPr>
  </w:style>
  <w:style w:type="character" w:customStyle="1" w:styleId="58">
    <w:name w:val="批注主题 Char"/>
    <w:basedOn w:val="57"/>
    <w:link w:val="36"/>
    <w:qFormat/>
    <w:uiPriority w:val="0"/>
    <w:rPr>
      <w:rFonts w:ascii="Times New Roman" w:hAnsi="Times New Roman" w:eastAsia="宋体" w:cs="Times New Roman"/>
      <w:b/>
      <w:bCs/>
      <w:kern w:val="0"/>
      <w:sz w:val="20"/>
      <w:szCs w:val="20"/>
    </w:rPr>
  </w:style>
  <w:style w:type="paragraph" w:customStyle="1" w:styleId="59">
    <w:name w:val="Revision"/>
    <w:qFormat/>
    <w:uiPriority w:val="99"/>
    <w:rPr>
      <w:rFonts w:ascii="Times New Roman" w:hAnsi="Times New Roman" w:eastAsia="宋体" w:cs="Times New Roman"/>
      <w:kern w:val="2"/>
      <w:sz w:val="21"/>
      <w:szCs w:val="20"/>
      <w:lang w:val="en-US" w:eastAsia="zh-CN" w:bidi="ar-SA"/>
    </w:rPr>
  </w:style>
  <w:style w:type="character" w:customStyle="1" w:styleId="60">
    <w:name w:val="标题 4 字符"/>
    <w:qFormat/>
    <w:uiPriority w:val="9"/>
    <w:rPr>
      <w:rFonts w:ascii="等线 Light" w:hAnsi="等线 Light" w:eastAsia="等线 Light" w:cs="Times New Roman"/>
      <w:b/>
      <w:bCs/>
      <w:kern w:val="2"/>
      <w:sz w:val="28"/>
      <w:szCs w:val="28"/>
    </w:rPr>
  </w:style>
  <w:style w:type="paragraph" w:customStyle="1" w:styleId="61">
    <w:name w:val="报告格式—正文"/>
    <w:basedOn w:val="1"/>
    <w:qFormat/>
    <w:uiPriority w:val="0"/>
    <w:pPr>
      <w:spacing w:line="580" w:lineRule="exact"/>
      <w:ind w:firstLine="584"/>
    </w:pPr>
    <w:rPr>
      <w:spacing w:val="6"/>
      <w:szCs w:val="36"/>
    </w:rPr>
  </w:style>
  <w:style w:type="character" w:customStyle="1" w:styleId="62">
    <w:name w:val="正文文本缩进 2 Char"/>
    <w:basedOn w:val="39"/>
    <w:link w:val="22"/>
    <w:qFormat/>
    <w:uiPriority w:val="0"/>
    <w:rPr>
      <w:rFonts w:ascii="Times New Roman" w:hAnsi="Times New Roman" w:eastAsia="宋体" w:cs="Times New Roman"/>
      <w:sz w:val="24"/>
      <w:szCs w:val="20"/>
    </w:rPr>
  </w:style>
  <w:style w:type="character" w:customStyle="1" w:styleId="63">
    <w:name w:val="正文文本 Char"/>
    <w:basedOn w:val="39"/>
    <w:link w:val="15"/>
    <w:qFormat/>
    <w:uiPriority w:val="0"/>
    <w:rPr>
      <w:rFonts w:ascii="Times New Roman" w:hAnsi="Times New Roman" w:eastAsia="宋体" w:cs="Times New Roman"/>
      <w:spacing w:val="4"/>
      <w:sz w:val="24"/>
      <w:szCs w:val="20"/>
    </w:rPr>
  </w:style>
  <w:style w:type="character" w:customStyle="1" w:styleId="64">
    <w:name w:val="正文文本缩进 Char"/>
    <w:basedOn w:val="39"/>
    <w:link w:val="16"/>
    <w:qFormat/>
    <w:uiPriority w:val="0"/>
    <w:rPr>
      <w:rFonts w:ascii="Times New Roman" w:hAnsi="Times New Roman" w:eastAsia="宋体" w:cs="Times New Roman"/>
      <w:sz w:val="28"/>
      <w:szCs w:val="24"/>
    </w:rPr>
  </w:style>
  <w:style w:type="character" w:customStyle="1" w:styleId="65">
    <w:name w:val="正文文本缩进 3 Char"/>
    <w:basedOn w:val="39"/>
    <w:link w:val="30"/>
    <w:qFormat/>
    <w:uiPriority w:val="0"/>
    <w:rPr>
      <w:rFonts w:ascii="楷体" w:hAnsi="Times New Roman" w:eastAsia="楷体" w:cs="Times New Roman"/>
      <w:bCs/>
      <w:sz w:val="28"/>
      <w:szCs w:val="24"/>
    </w:rPr>
  </w:style>
  <w:style w:type="character" w:customStyle="1" w:styleId="66">
    <w:name w:val="h141"/>
    <w:qFormat/>
    <w:uiPriority w:val="0"/>
    <w:rPr>
      <w:spacing w:val="440"/>
      <w:sz w:val="28"/>
    </w:rPr>
  </w:style>
  <w:style w:type="paragraph" w:customStyle="1" w:styleId="67">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68">
    <w:name w:val="font6"/>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69">
    <w:name w:val="xl24"/>
    <w:basedOn w:val="1"/>
    <w:qFormat/>
    <w:uiPriority w:val="0"/>
    <w:pPr>
      <w:widowControl/>
      <w:pBdr>
        <w:lef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1">
    <w:name w:val="xl26"/>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2">
    <w:name w:val="xl27"/>
    <w:basedOn w:val="1"/>
    <w:qFormat/>
    <w:uiPriority w:val="0"/>
    <w:pPr>
      <w:widowControl/>
      <w:pBdr>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3">
    <w:name w:val="xl2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74">
    <w:name w:val="xl29"/>
    <w:basedOn w:val="1"/>
    <w:qFormat/>
    <w:uiPriority w:val="0"/>
    <w:pPr>
      <w:widowControl/>
      <w:pBdr>
        <w:top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75">
    <w:name w:val="xl3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76">
    <w:name w:val="xl31"/>
    <w:basedOn w:val="1"/>
    <w:qFormat/>
    <w:uiPriority w:val="0"/>
    <w:pPr>
      <w:widowControl/>
      <w:pBdr>
        <w:top w:val="single" w:color="auto" w:sz="8" w:space="0"/>
        <w:left w:val="single" w:color="auto" w:sz="4" w:space="0"/>
        <w:right w:val="single" w:color="auto" w:sz="4" w:space="0"/>
      </w:pBdr>
      <w:spacing w:before="100" w:beforeAutospacing="1" w:after="100" w:afterAutospacing="1"/>
      <w:textAlignment w:val="top"/>
    </w:pPr>
    <w:rPr>
      <w:rFonts w:eastAsia="Arial Unicode MS"/>
      <w:kern w:val="0"/>
      <w:sz w:val="18"/>
      <w:szCs w:val="18"/>
    </w:rPr>
  </w:style>
  <w:style w:type="paragraph" w:customStyle="1" w:styleId="77">
    <w:name w:val="xl32"/>
    <w:basedOn w:val="1"/>
    <w:qFormat/>
    <w:uiPriority w:val="0"/>
    <w:pPr>
      <w:widowControl/>
      <w:pBdr>
        <w:left w:val="single" w:color="auto" w:sz="4" w:space="0"/>
        <w:right w:val="single" w:color="auto" w:sz="4" w:space="0"/>
      </w:pBdr>
      <w:spacing w:before="100" w:beforeAutospacing="1" w:after="100" w:afterAutospacing="1"/>
      <w:textAlignment w:val="top"/>
    </w:pPr>
    <w:rPr>
      <w:rFonts w:eastAsia="Arial Unicode MS"/>
      <w:kern w:val="0"/>
      <w:sz w:val="18"/>
      <w:szCs w:val="18"/>
    </w:rPr>
  </w:style>
  <w:style w:type="paragraph" w:customStyle="1" w:styleId="78">
    <w:name w:val="xl33"/>
    <w:basedOn w:val="1"/>
    <w:qFormat/>
    <w:uiPriority w:val="0"/>
    <w:pPr>
      <w:widowControl/>
      <w:pBdr>
        <w:left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79">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0">
    <w:name w:val="xl3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1">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82">
    <w:name w:val="xl37"/>
    <w:basedOn w:val="1"/>
    <w:qFormat/>
    <w:uiPriority w:val="0"/>
    <w:pPr>
      <w:widowControl/>
      <w:pBdr>
        <w:top w:val="single" w:color="auto" w:sz="8"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83">
    <w:name w:val="xl3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5">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7">
    <w:name w:val="xl4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8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89">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color w:val="FF0000"/>
      <w:kern w:val="0"/>
      <w:sz w:val="18"/>
      <w:szCs w:val="18"/>
    </w:rPr>
  </w:style>
  <w:style w:type="paragraph" w:customStyle="1" w:styleId="9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1">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3">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94">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5">
    <w:name w:val="xl50"/>
    <w:basedOn w:val="1"/>
    <w:qFormat/>
    <w:uiPriority w:val="0"/>
    <w:pPr>
      <w:widowControl/>
      <w:pBdr>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6">
    <w:name w:val="xl51"/>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color w:val="FF0000"/>
      <w:kern w:val="0"/>
      <w:sz w:val="18"/>
      <w:szCs w:val="18"/>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8">
    <w:name w:val="xl5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color w:val="FF0000"/>
      <w:kern w:val="0"/>
      <w:sz w:val="18"/>
      <w:szCs w:val="18"/>
    </w:rPr>
  </w:style>
  <w:style w:type="paragraph" w:customStyle="1" w:styleId="9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100">
    <w:name w:val="xl5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Unicode MS" w:hAnsi="Arial Unicode MS" w:eastAsia="Arial Unicode MS" w:cs="Arial Unicode MS"/>
      <w:b/>
      <w:bCs/>
      <w:color w:val="FF0000"/>
      <w:kern w:val="0"/>
      <w:sz w:val="18"/>
      <w:szCs w:val="18"/>
    </w:rPr>
  </w:style>
  <w:style w:type="paragraph" w:customStyle="1" w:styleId="101">
    <w:name w:val="xl5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102">
    <w:name w:val="xl57"/>
    <w:basedOn w:val="1"/>
    <w:qFormat/>
    <w:uiPriority w:val="0"/>
    <w:pPr>
      <w:widowControl/>
      <w:pBdr>
        <w:top w:val="single" w:color="auto" w:sz="8"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103">
    <w:name w:val="xl58"/>
    <w:basedOn w:val="1"/>
    <w:qFormat/>
    <w:uiPriority w:val="0"/>
    <w:pPr>
      <w:widowControl/>
      <w:pBdr>
        <w:top w:val="single" w:color="auto" w:sz="8" w:space="0"/>
        <w:right w:val="single" w:color="auto" w:sz="4" w:space="0"/>
      </w:pBdr>
      <w:spacing w:before="100" w:beforeAutospacing="1" w:after="100" w:afterAutospacing="1"/>
      <w:textAlignment w:val="top"/>
    </w:pPr>
    <w:rPr>
      <w:rFonts w:eastAsia="Arial Unicode MS"/>
      <w:kern w:val="0"/>
      <w:sz w:val="18"/>
      <w:szCs w:val="18"/>
    </w:rPr>
  </w:style>
  <w:style w:type="paragraph" w:customStyle="1" w:styleId="104">
    <w:name w:val="xl59"/>
    <w:basedOn w:val="1"/>
    <w:qFormat/>
    <w:uiPriority w:val="0"/>
    <w:pPr>
      <w:widowControl/>
      <w:pBdr>
        <w:lef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05">
    <w:name w:val="xl60"/>
    <w:basedOn w:val="1"/>
    <w:qFormat/>
    <w:uiPriority w:val="0"/>
    <w:pPr>
      <w:widowControl/>
      <w:pBdr>
        <w:top w:val="single" w:color="auto" w:sz="8" w:space="0"/>
        <w:left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6">
    <w:name w:val="xl61"/>
    <w:basedOn w:val="1"/>
    <w:qFormat/>
    <w:uiPriority w:val="0"/>
    <w:pPr>
      <w:widowControl/>
      <w:pBdr>
        <w:top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7">
    <w:name w:val="xl62"/>
    <w:basedOn w:val="1"/>
    <w:qFormat/>
    <w:uiPriority w:val="0"/>
    <w:pPr>
      <w:widowControl/>
      <w:pBdr>
        <w:top w:val="single" w:color="auto" w:sz="8" w:space="0"/>
        <w:right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8">
    <w:name w:val="xl63"/>
    <w:basedOn w:val="1"/>
    <w:qFormat/>
    <w:uiPriority w:val="0"/>
    <w:pPr>
      <w:widowControl/>
      <w:pBdr>
        <w:left w:val="single" w:color="auto" w:sz="8" w:space="0"/>
        <w:bottom w:val="single" w:color="auto" w:sz="8" w:space="0"/>
      </w:pBdr>
      <w:spacing w:before="100" w:beforeAutospacing="1" w:after="100" w:afterAutospacing="1"/>
      <w:textAlignment w:val="top"/>
    </w:pPr>
    <w:rPr>
      <w:rFonts w:eastAsia="Arial Unicode MS"/>
      <w:kern w:val="0"/>
      <w:sz w:val="24"/>
      <w:szCs w:val="24"/>
    </w:rPr>
  </w:style>
  <w:style w:type="paragraph" w:customStyle="1" w:styleId="109">
    <w:name w:val="xl64"/>
    <w:basedOn w:val="1"/>
    <w:qFormat/>
    <w:uiPriority w:val="0"/>
    <w:pPr>
      <w:widowControl/>
      <w:pBdr>
        <w:bottom w:val="single" w:color="auto" w:sz="8" w:space="0"/>
      </w:pBdr>
      <w:spacing w:before="100" w:beforeAutospacing="1" w:after="100" w:afterAutospacing="1"/>
      <w:jc w:val="left"/>
      <w:textAlignment w:val="top"/>
    </w:pPr>
    <w:rPr>
      <w:rFonts w:ascii="Arial Unicode MS" w:hAnsi="Arial Unicode MS" w:eastAsia="Arial Unicode MS" w:cs="Arial Unicode MS"/>
      <w:kern w:val="0"/>
      <w:sz w:val="24"/>
      <w:szCs w:val="24"/>
    </w:rPr>
  </w:style>
  <w:style w:type="paragraph" w:customStyle="1" w:styleId="110">
    <w:name w:val="xl65"/>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eastAsia="Arial Unicode MS"/>
      <w:kern w:val="0"/>
      <w:sz w:val="20"/>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rPr>
  </w:style>
  <w:style w:type="paragraph" w:customStyle="1" w:styleId="11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13">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14">
    <w:name w:val="xl6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15">
    <w:name w:val="xl70"/>
    <w:basedOn w:val="1"/>
    <w:qFormat/>
    <w:uiPriority w:val="0"/>
    <w:pPr>
      <w:widowControl/>
      <w:pBdr>
        <w:top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16">
    <w:name w:val="xl71"/>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17">
    <w:name w:val="xl72"/>
    <w:basedOn w:val="1"/>
    <w:qFormat/>
    <w:uiPriority w:val="0"/>
    <w:pPr>
      <w:widowControl/>
      <w:pBdr>
        <w:left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18">
    <w:name w:val="xl7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character" w:customStyle="1" w:styleId="119">
    <w:name w:val="正文文本 2 Char"/>
    <w:basedOn w:val="39"/>
    <w:link w:val="33"/>
    <w:qFormat/>
    <w:uiPriority w:val="0"/>
    <w:rPr>
      <w:rFonts w:ascii="Times New Roman" w:hAnsi="Times New Roman" w:eastAsia="宋体" w:cs="Times New Roman"/>
      <w:sz w:val="28"/>
      <w:szCs w:val="24"/>
    </w:rPr>
  </w:style>
  <w:style w:type="paragraph" w:customStyle="1" w:styleId="120">
    <w:name w:val="正文1"/>
    <w:basedOn w:val="1"/>
    <w:qFormat/>
    <w:uiPriority w:val="0"/>
    <w:pPr>
      <w:spacing w:line="320" w:lineRule="exact"/>
      <w:jc w:val="center"/>
    </w:pPr>
    <w:rPr>
      <w:szCs w:val="24"/>
    </w:rPr>
  </w:style>
  <w:style w:type="paragraph" w:customStyle="1" w:styleId="121">
    <w:name w:val="样式 首行缩进:  2 字符"/>
    <w:basedOn w:val="1"/>
    <w:qFormat/>
    <w:uiPriority w:val="0"/>
    <w:pPr>
      <w:spacing w:line="500" w:lineRule="exact"/>
      <w:ind w:firstLine="560"/>
    </w:pPr>
    <w:rPr>
      <w:sz w:val="24"/>
    </w:rPr>
  </w:style>
  <w:style w:type="paragraph" w:customStyle="1" w:styleId="122">
    <w:name w:val="四号 正文"/>
    <w:basedOn w:val="1"/>
    <w:link w:val="123"/>
    <w:qFormat/>
    <w:uiPriority w:val="0"/>
    <w:pPr>
      <w:ind w:firstLine="584"/>
    </w:pPr>
    <w:rPr>
      <w:spacing w:val="6"/>
    </w:rPr>
  </w:style>
  <w:style w:type="character" w:customStyle="1" w:styleId="123">
    <w:name w:val="四号 正文 Char"/>
    <w:link w:val="122"/>
    <w:qFormat/>
    <w:uiPriority w:val="0"/>
    <w:rPr>
      <w:rFonts w:ascii="Times New Roman" w:hAnsi="Times New Roman" w:eastAsia="宋体" w:cs="Times New Roman"/>
      <w:spacing w:val="6"/>
      <w:sz w:val="28"/>
      <w:szCs w:val="20"/>
    </w:rPr>
  </w:style>
  <w:style w:type="paragraph" w:customStyle="1" w:styleId="124">
    <w:name w:val="段落"/>
    <w:basedOn w:val="1"/>
    <w:link w:val="125"/>
    <w:qFormat/>
    <w:uiPriority w:val="0"/>
    <w:pPr>
      <w:spacing w:line="580" w:lineRule="exact"/>
    </w:pPr>
    <w:rPr>
      <w:spacing w:val="6"/>
    </w:rPr>
  </w:style>
  <w:style w:type="character" w:customStyle="1" w:styleId="125">
    <w:name w:val="段落 Char"/>
    <w:link w:val="124"/>
    <w:qFormat/>
    <w:uiPriority w:val="0"/>
    <w:rPr>
      <w:rFonts w:ascii="Times New Roman" w:hAnsi="Times New Roman" w:eastAsia="宋体" w:cs="Times New Roman"/>
      <w:spacing w:val="6"/>
      <w:sz w:val="28"/>
      <w:szCs w:val="20"/>
    </w:rPr>
  </w:style>
  <w:style w:type="paragraph" w:customStyle="1" w:styleId="126">
    <w:name w:val="段落1"/>
    <w:basedOn w:val="1"/>
    <w:qFormat/>
    <w:uiPriority w:val="0"/>
    <w:pPr>
      <w:spacing w:line="580" w:lineRule="exact"/>
    </w:pPr>
    <w:rPr>
      <w:spacing w:val="6"/>
      <w:szCs w:val="24"/>
    </w:rPr>
  </w:style>
  <w:style w:type="paragraph" w:customStyle="1" w:styleId="127">
    <w:name w:val="样式 四号"/>
    <w:basedOn w:val="1"/>
    <w:qFormat/>
    <w:uiPriority w:val="0"/>
    <w:pPr>
      <w:ind w:firstLine="202" w:firstLineChars="202"/>
    </w:pPr>
    <w:rPr>
      <w:rFonts w:cs="宋体"/>
    </w:rPr>
  </w:style>
  <w:style w:type="paragraph" w:customStyle="1" w:styleId="128">
    <w:name w:val="表格正文"/>
    <w:basedOn w:val="1"/>
    <w:qFormat/>
    <w:uiPriority w:val="0"/>
    <w:pPr>
      <w:adjustRightInd w:val="0"/>
      <w:snapToGrid w:val="0"/>
      <w:ind w:left="-136" w:leftChars="-65" w:right="31" w:rightChars="15"/>
      <w:jc w:val="center"/>
      <w:textAlignment w:val="center"/>
    </w:pPr>
    <w:rPr>
      <w:iCs/>
      <w:sz w:val="24"/>
      <w:szCs w:val="21"/>
    </w:rPr>
  </w:style>
  <w:style w:type="paragraph" w:customStyle="1" w:styleId="129">
    <w:name w:val="Char Char Char Char"/>
    <w:basedOn w:val="1"/>
    <w:qFormat/>
    <w:uiPriority w:val="0"/>
    <w:pPr>
      <w:spacing w:line="580" w:lineRule="exact"/>
    </w:pPr>
    <w:rPr>
      <w:spacing w:val="6"/>
      <w:szCs w:val="24"/>
    </w:rPr>
  </w:style>
  <w:style w:type="paragraph" w:customStyle="1" w:styleId="130">
    <w:name w:val="图表标题"/>
    <w:basedOn w:val="16"/>
    <w:qFormat/>
    <w:uiPriority w:val="0"/>
    <w:pPr>
      <w:ind w:firstLine="536" w:firstLineChars="200"/>
    </w:pPr>
    <w:rPr>
      <w:bCs/>
      <w:color w:val="000000"/>
      <w:spacing w:val="-6"/>
      <w:szCs w:val="28"/>
    </w:rPr>
  </w:style>
  <w:style w:type="paragraph" w:customStyle="1" w:styleId="131">
    <w:name w:val="表头4"/>
    <w:basedOn w:val="1"/>
    <w:qFormat/>
    <w:uiPriority w:val="0"/>
    <w:pPr>
      <w:adjustRightInd w:val="0"/>
      <w:snapToGrid w:val="0"/>
      <w:spacing w:beforeLines="100" w:afterLines="50" w:line="100" w:lineRule="atLeast"/>
      <w:jc w:val="center"/>
    </w:pPr>
    <w:rPr>
      <w:szCs w:val="24"/>
    </w:rPr>
  </w:style>
  <w:style w:type="paragraph" w:customStyle="1" w:styleId="132">
    <w:name w:val="样式1"/>
    <w:basedOn w:val="5"/>
    <w:qFormat/>
    <w:uiPriority w:val="0"/>
    <w:pPr>
      <w:adjustRightInd w:val="0"/>
      <w:snapToGrid w:val="0"/>
      <w:spacing w:before="240" w:after="120" w:line="312" w:lineRule="auto"/>
    </w:pPr>
    <w:rPr>
      <w:rFonts w:ascii="Arial" w:hAnsi="Arial" w:eastAsia="黑体"/>
      <w:sz w:val="30"/>
      <w:szCs w:val="30"/>
    </w:rPr>
  </w:style>
  <w:style w:type="character" w:customStyle="1" w:styleId="133">
    <w:name w:val="正文文本 3 Char"/>
    <w:basedOn w:val="39"/>
    <w:link w:val="13"/>
    <w:qFormat/>
    <w:uiPriority w:val="0"/>
    <w:rPr>
      <w:rFonts w:ascii="Times New Roman" w:hAnsi="Times New Roman" w:eastAsia="宋体" w:cs="Times New Roman"/>
      <w:sz w:val="16"/>
      <w:szCs w:val="20"/>
    </w:rPr>
  </w:style>
  <w:style w:type="paragraph" w:customStyle="1" w:styleId="134">
    <w:name w:val="样式 五号 居中"/>
    <w:basedOn w:val="1"/>
    <w:qFormat/>
    <w:uiPriority w:val="0"/>
    <w:pPr>
      <w:jc w:val="center"/>
    </w:pPr>
    <w:rPr>
      <w:rFonts w:cs="宋体"/>
    </w:rPr>
  </w:style>
  <w:style w:type="paragraph" w:customStyle="1" w:styleId="135">
    <w:name w:val="正文文本 31"/>
    <w:basedOn w:val="1"/>
    <w:qFormat/>
    <w:uiPriority w:val="0"/>
    <w:pPr>
      <w:suppressAutoHyphens/>
      <w:spacing w:after="120"/>
    </w:pPr>
    <w:rPr>
      <w:kern w:val="1"/>
      <w:sz w:val="16"/>
      <w:szCs w:val="16"/>
      <w:lang w:eastAsia="ar-SA"/>
    </w:rPr>
  </w:style>
  <w:style w:type="paragraph" w:customStyle="1" w:styleId="136">
    <w:name w:val="大标题"/>
    <w:basedOn w:val="1"/>
    <w:qFormat/>
    <w:uiPriority w:val="0"/>
    <w:pPr>
      <w:spacing w:afterLines="100"/>
    </w:pPr>
    <w:rPr>
      <w:rFonts w:eastAsia="黑体"/>
      <w:b/>
    </w:rPr>
  </w:style>
  <w:style w:type="paragraph" w:customStyle="1" w:styleId="137">
    <w:name w:val="目录"/>
    <w:basedOn w:val="1"/>
    <w:qFormat/>
    <w:uiPriority w:val="0"/>
    <w:pPr>
      <w:jc w:val="center"/>
    </w:pPr>
    <w:rPr>
      <w:sz w:val="24"/>
      <w:szCs w:val="24"/>
    </w:rPr>
  </w:style>
  <w:style w:type="paragraph" w:customStyle="1" w:styleId="138">
    <w:name w:val="小标题"/>
    <w:basedOn w:val="1"/>
    <w:qFormat/>
    <w:uiPriority w:val="0"/>
    <w:pPr>
      <w:tabs>
        <w:tab w:val="left" w:pos="420"/>
      </w:tabs>
      <w:spacing w:beforeLines="50" w:afterLines="50"/>
      <w:ind w:left="420" w:hanging="420"/>
    </w:pPr>
    <w:rPr>
      <w:b/>
      <w:sz w:val="24"/>
    </w:rPr>
  </w:style>
  <w:style w:type="paragraph" w:customStyle="1" w:styleId="139">
    <w:name w:val="表格"/>
    <w:basedOn w:val="1"/>
    <w:link w:val="140"/>
    <w:qFormat/>
    <w:uiPriority w:val="0"/>
    <w:pPr>
      <w:spacing w:afterLines="50"/>
      <w:jc w:val="center"/>
    </w:pPr>
    <w:rPr>
      <w:sz w:val="24"/>
    </w:rPr>
  </w:style>
  <w:style w:type="character" w:customStyle="1" w:styleId="140">
    <w:name w:val="表格 Char"/>
    <w:link w:val="139"/>
    <w:qFormat/>
    <w:uiPriority w:val="0"/>
    <w:rPr>
      <w:rFonts w:ascii="Times New Roman" w:hAnsi="Times New Roman" w:eastAsia="宋体" w:cs="Times New Roman"/>
      <w:sz w:val="24"/>
      <w:szCs w:val="20"/>
    </w:rPr>
  </w:style>
  <w:style w:type="character" w:customStyle="1" w:styleId="141">
    <w:name w:val="结束语 Char"/>
    <w:basedOn w:val="39"/>
    <w:link w:val="14"/>
    <w:qFormat/>
    <w:uiPriority w:val="0"/>
    <w:rPr>
      <w:rFonts w:ascii="Times New Roman" w:hAnsi="Times New Roman" w:eastAsia="宋体" w:cs="Times New Roman"/>
      <w:sz w:val="24"/>
      <w:szCs w:val="20"/>
    </w:rPr>
  </w:style>
  <w:style w:type="character" w:customStyle="1" w:styleId="142">
    <w:name w:val="纯文本 Char"/>
    <w:basedOn w:val="39"/>
    <w:link w:val="19"/>
    <w:qFormat/>
    <w:uiPriority w:val="0"/>
    <w:rPr>
      <w:rFonts w:ascii="宋体" w:hAnsi="Courier New" w:eastAsia="宋体" w:cs="Times New Roman"/>
      <w:sz w:val="28"/>
      <w:szCs w:val="20"/>
    </w:rPr>
  </w:style>
  <w:style w:type="paragraph" w:customStyle="1" w:styleId="143">
    <w:name w:val="港珠澳表格"/>
    <w:basedOn w:val="1"/>
    <w:qFormat/>
    <w:uiPriority w:val="0"/>
    <w:pPr>
      <w:jc w:val="center"/>
    </w:pPr>
    <w:rPr>
      <w:rFonts w:ascii="宋体"/>
      <w:sz w:val="24"/>
      <w:szCs w:val="21"/>
    </w:rPr>
  </w:style>
  <w:style w:type="character" w:customStyle="1" w:styleId="144">
    <w:name w:val="脚注文本 Char"/>
    <w:link w:val="28"/>
    <w:qFormat/>
    <w:uiPriority w:val="0"/>
    <w:rPr>
      <w:sz w:val="18"/>
    </w:rPr>
  </w:style>
  <w:style w:type="character" w:customStyle="1" w:styleId="145">
    <w:name w:val="脚注文本 Char1"/>
    <w:basedOn w:val="39"/>
    <w:qFormat/>
    <w:uiPriority w:val="99"/>
    <w:rPr>
      <w:rFonts w:ascii="Times New Roman" w:hAnsi="Times New Roman" w:eastAsia="宋体" w:cs="Times New Roman"/>
      <w:sz w:val="18"/>
      <w:szCs w:val="18"/>
    </w:rPr>
  </w:style>
  <w:style w:type="paragraph" w:customStyle="1" w:styleId="146">
    <w:name w:val="图名"/>
    <w:basedOn w:val="1"/>
    <w:qFormat/>
    <w:uiPriority w:val="0"/>
    <w:pPr>
      <w:jc w:val="center"/>
    </w:pPr>
    <w:rPr>
      <w:sz w:val="24"/>
    </w:rPr>
  </w:style>
  <w:style w:type="paragraph" w:customStyle="1" w:styleId="147">
    <w:name w:val="表头"/>
    <w:basedOn w:val="1"/>
    <w:qFormat/>
    <w:uiPriority w:val="0"/>
    <w:pPr>
      <w:jc w:val="center"/>
    </w:pPr>
    <w:rPr>
      <w:rFonts w:eastAsia="黑体"/>
    </w:rPr>
  </w:style>
  <w:style w:type="paragraph" w:customStyle="1" w:styleId="148">
    <w:name w:val="样式__表头"/>
    <w:basedOn w:val="1"/>
    <w:qFormat/>
    <w:uiPriority w:val="0"/>
    <w:pPr>
      <w:autoSpaceDE w:val="0"/>
      <w:autoSpaceDN w:val="0"/>
      <w:adjustRightInd w:val="0"/>
      <w:snapToGrid w:val="0"/>
      <w:jc w:val="center"/>
    </w:pPr>
    <w:rPr>
      <w:rFonts w:eastAsia="黑体"/>
      <w:spacing w:val="10"/>
      <w:kern w:val="0"/>
      <w:sz w:val="24"/>
    </w:rPr>
  </w:style>
  <w:style w:type="paragraph" w:customStyle="1" w:styleId="149">
    <w:name w:val="报告格式—表格标题"/>
    <w:basedOn w:val="1"/>
    <w:qFormat/>
    <w:uiPriority w:val="0"/>
    <w:pPr>
      <w:spacing w:beforeLines="50"/>
      <w:jc w:val="center"/>
      <w:outlineLvl w:val="7"/>
    </w:pPr>
    <w:rPr>
      <w:rFonts w:eastAsia="黑体"/>
      <w:spacing w:val="6"/>
      <w:sz w:val="24"/>
      <w:szCs w:val="21"/>
    </w:rPr>
  </w:style>
  <w:style w:type="paragraph" w:customStyle="1" w:styleId="150">
    <w:name w:val="0-一二"/>
    <w:basedOn w:val="1"/>
    <w:qFormat/>
    <w:uiPriority w:val="0"/>
    <w:pPr>
      <w:keepNext/>
      <w:keepLines/>
      <w:tabs>
        <w:tab w:val="left" w:pos="567"/>
      </w:tabs>
      <w:spacing w:beforeLines="50" w:afterLines="50"/>
      <w:ind w:left="567"/>
      <w:jc w:val="left"/>
      <w:outlineLvl w:val="2"/>
    </w:pPr>
    <w:rPr>
      <w:rFonts w:eastAsia="黑体"/>
      <w:b/>
      <w:spacing w:val="10"/>
      <w:kern w:val="44"/>
      <w:sz w:val="30"/>
      <w:szCs w:val="32"/>
    </w:rPr>
  </w:style>
  <w:style w:type="paragraph" w:customStyle="1" w:styleId="151">
    <w:name w:val="0-正文"/>
    <w:basedOn w:val="1"/>
    <w:link w:val="152"/>
    <w:qFormat/>
    <w:uiPriority w:val="0"/>
    <w:pPr>
      <w:spacing w:line="312" w:lineRule="auto"/>
    </w:pPr>
    <w:rPr>
      <w:spacing w:val="4"/>
    </w:rPr>
  </w:style>
  <w:style w:type="character" w:customStyle="1" w:styleId="152">
    <w:name w:val="0-正文 Char"/>
    <w:link w:val="151"/>
    <w:qFormat/>
    <w:uiPriority w:val="0"/>
    <w:rPr>
      <w:rFonts w:ascii="Times New Roman" w:hAnsi="Times New Roman" w:eastAsia="宋体" w:cs="Times New Roman"/>
      <w:spacing w:val="4"/>
      <w:sz w:val="28"/>
      <w:szCs w:val="20"/>
    </w:rPr>
  </w:style>
  <w:style w:type="paragraph" w:customStyle="1" w:styleId="153">
    <w:name w:val="0-1"/>
    <w:basedOn w:val="151"/>
    <w:qFormat/>
    <w:uiPriority w:val="0"/>
    <w:pPr>
      <w:spacing w:line="360" w:lineRule="auto"/>
      <w:outlineLvl w:val="4"/>
    </w:pPr>
    <w:rPr>
      <w:b/>
    </w:rPr>
  </w:style>
  <w:style w:type="paragraph" w:customStyle="1" w:styleId="154">
    <w:name w:val="0-(一)"/>
    <w:basedOn w:val="153"/>
    <w:qFormat/>
    <w:uiPriority w:val="0"/>
    <w:pPr>
      <w:spacing w:line="480" w:lineRule="auto"/>
      <w:outlineLvl w:val="3"/>
    </w:pPr>
    <w:rPr>
      <w:rFonts w:eastAsia="黑体"/>
      <w:sz w:val="30"/>
    </w:rPr>
  </w:style>
  <w:style w:type="paragraph" w:customStyle="1" w:styleId="155">
    <w:name w:val="0-表头"/>
    <w:basedOn w:val="151"/>
    <w:qFormat/>
    <w:uiPriority w:val="0"/>
    <w:pPr>
      <w:spacing w:line="480" w:lineRule="auto"/>
      <w:ind w:firstLine="0" w:firstLineChars="0"/>
      <w:jc w:val="center"/>
    </w:pPr>
    <w:rPr>
      <w:b/>
      <w:sz w:val="24"/>
    </w:rPr>
  </w:style>
  <w:style w:type="paragraph" w:customStyle="1" w:styleId="156">
    <w:name w:val="报告格式—一"/>
    <w:basedOn w:val="1"/>
    <w:qFormat/>
    <w:uiPriority w:val="0"/>
    <w:pPr>
      <w:spacing w:beforeLines="50" w:afterLines="50"/>
      <w:ind w:firstLine="150" w:firstLineChars="150"/>
      <w:jc w:val="left"/>
      <w:outlineLvl w:val="3"/>
    </w:pPr>
    <w:rPr>
      <w:rFonts w:eastAsia="黑体"/>
      <w:spacing w:val="10"/>
      <w:sz w:val="32"/>
      <w:szCs w:val="36"/>
    </w:rPr>
  </w:style>
  <w:style w:type="paragraph" w:customStyle="1" w:styleId="157">
    <w:name w:val="0－表文5"/>
    <w:basedOn w:val="1"/>
    <w:link w:val="158"/>
    <w:qFormat/>
    <w:uiPriority w:val="0"/>
    <w:pPr>
      <w:jc w:val="center"/>
    </w:pPr>
  </w:style>
  <w:style w:type="character" w:customStyle="1" w:styleId="158">
    <w:name w:val="0－表文5 Char"/>
    <w:link w:val="157"/>
    <w:qFormat/>
    <w:uiPriority w:val="0"/>
    <w:rPr>
      <w:rFonts w:ascii="Times New Roman" w:hAnsi="Times New Roman" w:eastAsia="宋体" w:cs="Times New Roman"/>
      <w:sz w:val="28"/>
      <w:szCs w:val="20"/>
    </w:rPr>
  </w:style>
  <w:style w:type="paragraph" w:customStyle="1" w:styleId="159">
    <w:name w:val="Source"/>
    <w:basedOn w:val="1"/>
    <w:qFormat/>
    <w:uiPriority w:val="0"/>
    <w:pPr>
      <w:tabs>
        <w:tab w:val="left" w:pos="1080"/>
        <w:tab w:val="left" w:pos="2160"/>
        <w:tab w:val="left" w:pos="3240"/>
        <w:tab w:val="left" w:pos="4320"/>
        <w:tab w:val="left" w:pos="5400"/>
        <w:tab w:val="left" w:pos="6480"/>
        <w:tab w:val="left" w:pos="7560"/>
      </w:tabs>
      <w:spacing w:line="260" w:lineRule="atLeast"/>
      <w:jc w:val="left"/>
    </w:pPr>
    <w:rPr>
      <w:sz w:val="18"/>
      <w:szCs w:val="24"/>
    </w:rPr>
  </w:style>
  <w:style w:type="paragraph" w:customStyle="1" w:styleId="160">
    <w:name w:val="样式 Table + 居中1"/>
    <w:basedOn w:val="1"/>
    <w:qFormat/>
    <w:uiPriority w:val="0"/>
    <w:pPr>
      <w:spacing w:line="500" w:lineRule="exact"/>
      <w:jc w:val="center"/>
      <w:textAlignment w:val="center"/>
    </w:pPr>
    <w:rPr>
      <w:rFonts w:ascii="宋体" w:hAnsi="宋体" w:cs="宋体"/>
      <w:spacing w:val="4"/>
      <w:sz w:val="24"/>
    </w:rPr>
  </w:style>
  <w:style w:type="paragraph" w:customStyle="1" w:styleId="161">
    <w:name w:val="数字体报告格式—1.1.1"/>
    <w:basedOn w:val="1"/>
    <w:qFormat/>
    <w:uiPriority w:val="0"/>
    <w:pPr>
      <w:spacing w:beforeLines="100"/>
      <w:jc w:val="left"/>
      <w:outlineLvl w:val="3"/>
    </w:pPr>
    <w:rPr>
      <w:rFonts w:eastAsia="黑体"/>
      <w:spacing w:val="10"/>
      <w:sz w:val="30"/>
      <w:szCs w:val="36"/>
    </w:rPr>
  </w:style>
  <w:style w:type="paragraph" w:customStyle="1" w:styleId="162">
    <w:name w:val="Char Char6"/>
    <w:basedOn w:val="1"/>
    <w:qFormat/>
    <w:uiPriority w:val="0"/>
    <w:pPr>
      <w:widowControl/>
      <w:spacing w:after="160" w:line="240" w:lineRule="exact"/>
      <w:jc w:val="left"/>
    </w:pPr>
    <w:rPr>
      <w:rFonts w:ascii="Verdana" w:hAnsi="Verdana"/>
      <w:kern w:val="0"/>
      <w:sz w:val="20"/>
      <w:lang w:eastAsia="en-US"/>
    </w:rPr>
  </w:style>
  <w:style w:type="paragraph" w:customStyle="1" w:styleId="163">
    <w:name w:val="CN-Text08"/>
    <w:basedOn w:val="1"/>
    <w:link w:val="164"/>
    <w:qFormat/>
    <w:uiPriority w:val="0"/>
    <w:pPr>
      <w:spacing w:beforeLines="25" w:afterLines="25" w:line="440" w:lineRule="exact"/>
      <w:ind w:firstLine="560"/>
    </w:pPr>
    <w:rPr>
      <w:rFonts w:eastAsia="仿宋_GB2312"/>
    </w:rPr>
  </w:style>
  <w:style w:type="character" w:customStyle="1" w:styleId="164">
    <w:name w:val="CN-Text08 Char"/>
    <w:link w:val="163"/>
    <w:qFormat/>
    <w:uiPriority w:val="0"/>
    <w:rPr>
      <w:rFonts w:ascii="Times New Roman" w:hAnsi="Times New Roman" w:eastAsia="仿宋_GB2312" w:cs="Times New Roman"/>
      <w:sz w:val="28"/>
      <w:szCs w:val="20"/>
    </w:rPr>
  </w:style>
  <w:style w:type="character" w:customStyle="1" w:styleId="165">
    <w:name w:val="表1"/>
    <w:qFormat/>
    <w:uiPriority w:val="0"/>
    <w:rPr>
      <w:sz w:val="21"/>
      <w:szCs w:val="24"/>
    </w:rPr>
  </w:style>
  <w:style w:type="table" w:customStyle="1" w:styleId="166">
    <w:name w:val="网格型1"/>
    <w:basedOn w:val="37"/>
    <w:qFormat/>
    <w:uiPriority w:val="0"/>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7">
    <w:name w:val="表标题"/>
    <w:basedOn w:val="1"/>
    <w:next w:val="1"/>
    <w:qFormat/>
    <w:uiPriority w:val="0"/>
    <w:pPr>
      <w:widowControl/>
      <w:adjustRightInd w:val="0"/>
      <w:snapToGrid w:val="0"/>
      <w:spacing w:beforeLines="50"/>
      <w:ind w:firstLine="0" w:firstLineChars="0"/>
      <w:jc w:val="center"/>
    </w:pPr>
    <w:rPr>
      <w:rFonts w:eastAsia="黑体"/>
      <w:snapToGrid w:val="0"/>
      <w:color w:val="000000"/>
      <w:kern w:val="0"/>
      <w:sz w:val="24"/>
    </w:rPr>
  </w:style>
  <w:style w:type="paragraph" w:customStyle="1" w:styleId="16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table" w:customStyle="1" w:styleId="169">
    <w:name w:val="网格型2"/>
    <w:basedOn w:val="37"/>
    <w:qFormat/>
    <w:uiPriority w:val="0"/>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0">
    <w:name w:val="List Paragraph"/>
    <w:basedOn w:val="1"/>
    <w:qFormat/>
    <w:uiPriority w:val="34"/>
    <w:pPr>
      <w:spacing w:line="240" w:lineRule="auto"/>
      <w:ind w:firstLine="420"/>
    </w:pPr>
    <w:rPr>
      <w:sz w:val="21"/>
    </w:rPr>
  </w:style>
  <w:style w:type="paragraph" w:customStyle="1" w:styleId="171">
    <w:name w:val="段"/>
    <w:link w:val="173"/>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72">
    <w:name w:val="表格文字"/>
    <w:basedOn w:val="1"/>
    <w:link w:val="174"/>
    <w:qFormat/>
    <w:uiPriority w:val="0"/>
    <w:pPr>
      <w:spacing w:line="240" w:lineRule="auto"/>
      <w:ind w:firstLine="0" w:firstLineChars="0"/>
      <w:jc w:val="center"/>
    </w:pPr>
    <w:rPr>
      <w:kern w:val="44"/>
      <w:sz w:val="21"/>
    </w:rPr>
  </w:style>
  <w:style w:type="character" w:customStyle="1" w:styleId="173">
    <w:name w:val="段 Char"/>
    <w:link w:val="171"/>
    <w:qFormat/>
    <w:uiPriority w:val="0"/>
    <w:rPr>
      <w:rFonts w:ascii="宋体" w:hAnsi="Times New Roman" w:eastAsia="宋体" w:cs="Times New Roman"/>
      <w:kern w:val="0"/>
      <w:szCs w:val="20"/>
    </w:rPr>
  </w:style>
  <w:style w:type="character" w:customStyle="1" w:styleId="174">
    <w:name w:val="表格文字 Char"/>
    <w:link w:val="172"/>
    <w:qFormat/>
    <w:uiPriority w:val="0"/>
    <w:rPr>
      <w:rFonts w:ascii="Times New Roman" w:hAnsi="Times New Roman" w:eastAsia="宋体" w:cs="Times New Roman"/>
      <w:kern w:val="44"/>
      <w:szCs w:val="20"/>
    </w:rPr>
  </w:style>
  <w:style w:type="paragraph" w:customStyle="1" w:styleId="175">
    <w:name w:val="二级条标题"/>
    <w:basedOn w:val="176"/>
    <w:next w:val="171"/>
    <w:qFormat/>
    <w:uiPriority w:val="0"/>
    <w:pPr>
      <w:numPr>
        <w:ilvl w:val="2"/>
        <w:numId w:val="1"/>
      </w:numPr>
      <w:spacing w:before="50" w:after="50"/>
      <w:outlineLvl w:val="3"/>
    </w:pPr>
  </w:style>
  <w:style w:type="paragraph" w:customStyle="1" w:styleId="176">
    <w:name w:val="一级条标题"/>
    <w:next w:val="171"/>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77">
    <w:name w:val="正文表标题"/>
    <w:next w:val="171"/>
    <w:qFormat/>
    <w:uiPriority w:val="0"/>
    <w:pPr>
      <w:numPr>
        <w:ilvl w:val="0"/>
        <w:numId w:val="2"/>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178">
    <w:name w:val="正文图标题"/>
    <w:next w:val="171"/>
    <w:qFormat/>
    <w:uiPriority w:val="0"/>
    <w:pPr>
      <w:numPr>
        <w:ilvl w:val="0"/>
        <w:numId w:val="3"/>
      </w:numPr>
      <w:spacing w:before="156" w:beforeLines="50" w:after="156" w:afterLines="50"/>
      <w:jc w:val="center"/>
    </w:pPr>
    <w:rPr>
      <w:rFonts w:ascii="黑体" w:hAnsi="Calibri" w:eastAsia="黑体" w:cs="Times New Roman"/>
      <w:sz w:val="21"/>
      <w:lang w:val="en-US" w:eastAsia="zh-CN" w:bidi="ar-SA"/>
    </w:rPr>
  </w:style>
  <w:style w:type="paragraph" w:customStyle="1" w:styleId="179">
    <w:name w:val="章标题"/>
    <w:next w:val="171"/>
    <w:qFormat/>
    <w:uiPriority w:val="0"/>
    <w:pPr>
      <w:numPr>
        <w:ilvl w:val="0"/>
        <w:numId w:val="1"/>
      </w:numPr>
      <w:spacing w:before="312" w:beforeLines="100" w:after="312" w:afterLines="100"/>
      <w:jc w:val="both"/>
      <w:outlineLvl w:val="1"/>
    </w:pPr>
    <w:rPr>
      <w:rFonts w:ascii="黑体" w:hAnsi="Calibri" w:eastAsia="黑体" w:cs="Times New Roman"/>
      <w:sz w:val="21"/>
      <w:lang w:val="en-US" w:eastAsia="zh-CN" w:bidi="ar-SA"/>
    </w:rPr>
  </w:style>
  <w:style w:type="character" w:customStyle="1" w:styleId="180">
    <w:name w:val="s1"/>
    <w:basedOn w:val="39"/>
    <w:qFormat/>
    <w:uiPriority w:val="0"/>
  </w:style>
  <w:style w:type="paragraph" w:customStyle="1" w:styleId="181">
    <w:name w:val="标准文件_段"/>
    <w:basedOn w:val="1"/>
    <w:link w:val="182"/>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82">
    <w:name w:val="标准文件_段 Char"/>
    <w:basedOn w:val="39"/>
    <w:link w:val="181"/>
    <w:qFormat/>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6C4A4-93DE-44AB-AA2F-DB7550071DF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Pages>
  <Words>6722</Words>
  <Characters>7114</Characters>
  <Lines>270</Lines>
  <Paragraphs>76</Paragraphs>
  <TotalTime>23</TotalTime>
  <ScaleCrop>false</ScaleCrop>
  <LinksUpToDate>false</LinksUpToDate>
  <CharactersWithSpaces>7239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2018-01-11T00:50:00Z</dcterms:created>
  <dc:creator>孙志超</dc:creator>
  <cp:lastModifiedBy>超</cp:lastModifiedBy>
  <cp:lastPrinted>2018-12-03T14:41:00Z</cp:lastPrinted>
  <dcterms:modified xsi:type="dcterms:W3CDTF">2023-10-11T03:40:52Z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F6116E5DC4C84F20AA37ACD01E741266</vt:lpwstr>
  </property>
</Properties>
</file>