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insoku w:val="0"/>
        <w:overflowPunct w:val="0"/>
        <w:spacing w:before="34" w:line="312" w:lineRule="exact"/>
        <w:ind w:left="223" w:leftChars="64" w:right="857" w:hanging="89" w:hangingChars="33"/>
        <w:rPr>
          <w:rFonts w:ascii="Times New Roman" w:cs="Times New Roman" w:eastAsiaTheme="minorEastAsia"/>
          <w:b/>
          <w:bCs/>
          <w:kern w:val="0"/>
        </w:rPr>
      </w:pPr>
      <w:bookmarkStart w:id="0" w:name="_Toc20705"/>
      <w:bookmarkStart w:id="1" w:name="_Toc31639891"/>
      <w:bookmarkStart w:id="2" w:name="_Toc233"/>
      <w:bookmarkStart w:id="3" w:name="_Toc27793"/>
      <w:r>
        <w:rPr>
          <w:sz w:val="25"/>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-304165</wp:posOffset>
                </wp:positionV>
                <wp:extent cx="1013460" cy="342900"/>
                <wp:effectExtent l="0" t="0" r="7620" b="7620"/>
                <wp:wrapNone/>
                <wp:docPr id="7" name="文本框 7"/>
                <wp:cNvGraphicFramePr/>
                <a:graphic xmlns:a="http://schemas.openxmlformats.org/drawingml/2006/main">
                  <a:graphicData uri="http://schemas.microsoft.com/office/word/2010/wordprocessingShape">
                    <wps:wsp>
                      <wps:cNvSpPr txBox="1"/>
                      <wps:spPr>
                        <a:xfrm>
                          <a:off x="957580" y="315595"/>
                          <a:ext cx="101346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23.95pt;height:27pt;width:79.8pt;z-index:251661312;mso-width-relative:page;mso-height-relative:page;" fillcolor="#FFFFFF [3201]" filled="t" stroked="f" coordsize="21600,21600" o:gfxdata="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S1849QA&#10;AAAIAQAADwAAAAAAAAABACAAAAAiAAAAZHJzL2Rvd25yZXYueG1sUEsBAhQAFAAAAAgAh07iQJLb&#10;OaxcAgAAmQQAAA4AAAAAAAAAAQAgAAAAIwEAAGRycy9lMm9Eb2MueG1sUEsFBgAAAAAGAAYAWQEA&#10;APEFAAAAAA==&#10;">
                <v:fill on="t" focussize="0,0"/>
                <v:stroke on="f" weight="0.5pt"/>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ascii="Times New Roman" w:cs="Times New Roman" w:eastAsiaTheme="minorEastAsia"/>
          <w:b/>
          <w:bCs/>
          <w:kern w:val="0"/>
        </w:rPr>
        <w:t>I</w:t>
      </w:r>
      <w:r>
        <w:rPr>
          <w:rFonts w:ascii="Times New Roman" w:cs="Times New Roman" w:eastAsiaTheme="minorEastAsia"/>
          <w:b/>
          <w:bCs/>
          <w:spacing w:val="1"/>
          <w:kern w:val="0"/>
        </w:rPr>
        <w:t xml:space="preserve">CS </w:t>
      </w:r>
      <w:r>
        <w:rPr>
          <w:rFonts w:eastAsia="黑体" w:cs="黑体" w:asciiTheme="majorHAnsi" w:hAnsiTheme="majorHAnsi"/>
          <w:spacing w:val="1"/>
          <w:kern w:val="0"/>
        </w:rPr>
        <w:t>XXXXXXX</w:t>
      </w:r>
      <w:bookmarkStart w:id="70" w:name="_GoBack"/>
      <w:bookmarkEnd w:id="70"/>
    </w:p>
    <w:p>
      <w:pPr>
        <w:pStyle w:val="5"/>
        <w:kinsoku w:val="0"/>
        <w:overflowPunct w:val="0"/>
        <w:spacing w:before="34" w:line="312" w:lineRule="exact"/>
        <w:ind w:left="196" w:right="857"/>
        <w:rPr>
          <w:rFonts w:ascii="Microsoft JhengHei" w:eastAsia="Microsoft JhengHei" w:cs="Microsoft JhengHei"/>
        </w:rPr>
      </w:pPr>
      <w:r>
        <w:rPr>
          <w:rFonts w:ascii="Times New Roman" w:cs="Times New Roman" w:eastAsiaTheme="minorEastAsia"/>
          <w:b/>
          <w:bCs/>
          <w:kern w:val="0"/>
        </w:rPr>
        <w:t>CCS</w:t>
      </w:r>
      <w:r>
        <w:rPr>
          <w:rFonts w:hint="eastAsia" w:cs="Times New Roman" w:eastAsiaTheme="minorEastAsia"/>
          <w:b/>
          <w:bCs/>
          <w:kern w:val="0"/>
        </w:rPr>
        <w:t xml:space="preserve"> </w:t>
      </w:r>
      <w:r>
        <w:rPr>
          <w:rFonts w:cs="Times New Roman" w:asciiTheme="majorHAnsi" w:hAnsiTheme="majorHAnsi" w:eastAsiaTheme="minorEastAsia"/>
          <w:kern w:val="0"/>
        </w:rPr>
        <w:t>X XX</w:t>
      </w:r>
    </w:p>
    <w:p>
      <w:pPr>
        <w:snapToGrid w:val="0"/>
        <w:jc w:val="right"/>
        <w:rPr>
          <w:rFonts w:ascii="仿宋" w:hAnsi="仿宋" w:eastAsia="仿宋" w:cs="仿宋_GB2312"/>
          <w:sz w:val="52"/>
          <w:szCs w:val="52"/>
        </w:rPr>
      </w:pPr>
      <w:r>
        <w:rPr>
          <w:b/>
          <w:bCs/>
          <w:spacing w:val="1"/>
          <w:w w:val="130"/>
          <w:sz w:val="96"/>
          <w:szCs w:val="96"/>
        </w:rPr>
        <w:t>DB</w:t>
      </w:r>
      <w:r>
        <w:rPr>
          <w:rFonts w:hint="eastAsia"/>
          <w:b/>
          <w:bCs/>
          <w:spacing w:val="1"/>
          <w:w w:val="130"/>
          <w:sz w:val="96"/>
          <w:szCs w:val="96"/>
        </w:rPr>
        <w:t xml:space="preserve"> </w:t>
      </w:r>
      <w:r>
        <w:rPr>
          <w:rFonts w:cs="Calibri Light" w:asciiTheme="majorHAnsi" w:hAnsiTheme="majorHAnsi"/>
          <w:b/>
          <w:bCs/>
          <w:spacing w:val="1"/>
          <w:w w:val="130"/>
          <w:sz w:val="96"/>
          <w:szCs w:val="96"/>
        </w:rPr>
        <w:t>XX</w:t>
      </w:r>
    </w:p>
    <w:p>
      <w:pPr>
        <w:tabs>
          <w:tab w:val="left" w:pos="1617"/>
          <w:tab w:val="left" w:pos="3124"/>
          <w:tab w:val="left" w:pos="4629"/>
          <w:tab w:val="left" w:pos="6136"/>
          <w:tab w:val="left" w:pos="7641"/>
          <w:tab w:val="left" w:pos="9148"/>
        </w:tabs>
        <w:kinsoku w:val="0"/>
        <w:overflowPunct w:val="0"/>
        <w:spacing w:line="680" w:lineRule="exact"/>
        <w:ind w:left="112"/>
        <w:jc w:val="distribute"/>
        <w:rPr>
          <w:rFonts w:ascii="黑体" w:hAnsi="黑体" w:eastAsia="黑体" w:cs="黑体"/>
          <w:sz w:val="52"/>
          <w:szCs w:val="52"/>
        </w:rPr>
      </w:pPr>
      <w:r>
        <w:rPr>
          <w:rFonts w:hint="eastAsia" w:ascii="黑体" w:hAnsi="黑体" w:eastAsia="黑体" w:cs="黑体"/>
          <w:sz w:val="52"/>
          <w:szCs w:val="52"/>
        </w:rPr>
        <w:t>广东省地方标准</w:t>
      </w:r>
    </w:p>
    <w:p>
      <w:pPr>
        <w:spacing w:line="360" w:lineRule="auto"/>
        <w:jc w:val="right"/>
        <w:rPr>
          <w:spacing w:val="1"/>
          <w:w w:val="85"/>
        </w:rPr>
      </w:pPr>
    </w:p>
    <w:p>
      <w:pPr>
        <w:jc w:val="right"/>
        <w:rPr>
          <w:rFonts w:ascii="黑体" w:hAnsi="黑体" w:eastAsia="黑体" w:cs="黑体"/>
          <w:sz w:val="28"/>
          <w:szCs w:val="28"/>
        </w:rPr>
      </w:pPr>
      <w:r>
        <w:rPr>
          <w:rFonts w:hint="eastAsia" w:ascii="黑体" w:hAnsi="黑体" w:eastAsia="黑体" w:cs="黑体"/>
          <w:b/>
          <w:bCs/>
          <w:sz w:val="28"/>
          <w:szCs w:val="28"/>
        </w:rPr>
        <w:t>DB</w:t>
      </w:r>
      <w:r>
        <w:rPr>
          <w:rFonts w:hint="eastAsia" w:ascii="黑体" w:hAnsi="黑体" w:eastAsia="黑体" w:cs="黑体"/>
          <w:sz w:val="28"/>
          <w:szCs w:val="28"/>
        </w:rPr>
        <w:t xml:space="preserve"> XX/</w:t>
      </w:r>
      <w:r>
        <w:rPr>
          <w:rFonts w:hint="eastAsia" w:ascii="黑体" w:hAnsi="黑体" w:eastAsia="黑体" w:cs="黑体"/>
          <w:b/>
          <w:bCs/>
          <w:sz w:val="28"/>
          <w:szCs w:val="28"/>
        </w:rPr>
        <w:t>T</w:t>
      </w:r>
      <w:r>
        <w:rPr>
          <w:rFonts w:hint="eastAsia" w:ascii="黑体" w:hAnsi="黑体" w:eastAsia="黑体" w:cs="黑体"/>
          <w:sz w:val="28"/>
          <w:szCs w:val="28"/>
        </w:rPr>
        <w:t xml:space="preserve"> XXXX-XXXX</w:t>
      </w:r>
    </w:p>
    <w:p>
      <w:pPr>
        <w:spacing w:line="360" w:lineRule="auto"/>
        <w:jc w:val="center"/>
        <w:rPr>
          <w:rFonts w:ascii="仿宋" w:hAnsi="仿宋" w:eastAsia="仿宋" w:cs="仿宋_GB2312"/>
          <w:b/>
          <w:bCs/>
          <w:sz w:val="36"/>
          <w:szCs w:val="36"/>
        </w:rPr>
      </w:pPr>
      <w:r>
        <w:rPr>
          <w:rFonts w:hint="eastAsia" w:ascii="仿宋" w:hAnsi="仿宋" w:eastAsia="仿宋" w:cs="仿宋_GB2312"/>
          <w:b/>
          <w:bCs/>
          <w:sz w:val="36"/>
          <w:szCs w:val="36"/>
        </w:rPr>
        <w:t xml:space="preserve"> </w:t>
      </w:r>
    </w:p>
    <w:p>
      <w:pPr>
        <w:spacing w:line="360" w:lineRule="auto"/>
        <w:jc w:val="center"/>
        <w:rPr>
          <w:rFonts w:ascii="仿宋" w:hAnsi="仿宋" w:eastAsia="仿宋" w:cs="仿宋_GB2312"/>
          <w:b/>
          <w:bCs/>
          <w:sz w:val="36"/>
          <w:szCs w:val="36"/>
        </w:rPr>
      </w:pPr>
    </w:p>
    <w:p>
      <w:pPr>
        <w:kinsoku w:val="0"/>
        <w:overflowPunct w:val="0"/>
        <w:ind w:right="4"/>
        <w:jc w:val="center"/>
        <w:rPr>
          <w:rFonts w:ascii="黑体" w:hAnsi="黑体" w:eastAsia="黑体" w:cs="黑体"/>
          <w:spacing w:val="2"/>
          <w:sz w:val="52"/>
          <w:szCs w:val="52"/>
        </w:rPr>
      </w:pPr>
      <w:r>
        <w:rPr>
          <w:rFonts w:hint="eastAsia" w:ascii="黑体" w:hAnsi="黑体" w:eastAsia="黑体" w:cs="黑体"/>
          <w:spacing w:val="2"/>
          <w:sz w:val="52"/>
          <w:szCs w:val="52"/>
        </w:rPr>
        <w:t>内河航道架空缆线通航</w:t>
      </w:r>
    </w:p>
    <w:p>
      <w:pPr>
        <w:kinsoku w:val="0"/>
        <w:overflowPunct w:val="0"/>
        <w:ind w:right="4"/>
        <w:jc w:val="center"/>
        <w:rPr>
          <w:rFonts w:ascii="黑体" w:hAnsi="黑体" w:eastAsia="黑体" w:cs="黑体"/>
          <w:spacing w:val="2"/>
          <w:sz w:val="52"/>
          <w:szCs w:val="52"/>
        </w:rPr>
      </w:pPr>
      <w:r>
        <w:rPr>
          <w:rFonts w:hint="eastAsia" w:ascii="黑体" w:hAnsi="黑体" w:eastAsia="黑体" w:cs="黑体"/>
          <w:spacing w:val="2"/>
          <w:sz w:val="52"/>
          <w:szCs w:val="52"/>
        </w:rPr>
        <w:t>净空尺度标准</w:t>
      </w:r>
    </w:p>
    <w:p>
      <w:pPr>
        <w:jc w:val="center"/>
        <w:rPr>
          <w:sz w:val="28"/>
          <w:szCs w:val="28"/>
        </w:rPr>
      </w:pPr>
    </w:p>
    <w:p>
      <w:pPr>
        <w:kinsoku w:val="0"/>
        <w:overflowPunct w:val="0"/>
        <w:ind w:right="4"/>
        <w:jc w:val="center"/>
        <w:rPr>
          <w:rFonts w:ascii="Microsoft JhengHei" w:cs="Microsoft JhengHei"/>
          <w:spacing w:val="2"/>
          <w:sz w:val="52"/>
          <w:szCs w:val="52"/>
        </w:rPr>
      </w:pPr>
      <w:r>
        <w:rPr>
          <w:rFonts w:hint="eastAsia"/>
          <w:sz w:val="28"/>
          <w:szCs w:val="28"/>
        </w:rPr>
        <w:t xml:space="preserve">Navigational Clearances Standard for Channel Overhead cable </w:t>
      </w: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b/>
          <w:bCs/>
          <w:spacing w:val="2"/>
          <w:sz w:val="44"/>
          <w:szCs w:val="44"/>
        </w:rPr>
      </w:pPr>
      <w:r>
        <w:rPr>
          <w:rFonts w:hint="eastAsia" w:ascii="Microsoft JhengHei" w:cs="Microsoft JhengHei"/>
          <w:b/>
          <w:bCs/>
          <w:spacing w:val="2"/>
          <w:sz w:val="44"/>
          <w:szCs w:val="44"/>
        </w:rPr>
        <w:t>（征求意见稿）</w:t>
      </w: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pStyle w:val="2"/>
        <w:ind w:left="0" w:leftChars="0"/>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tabs>
          <w:tab w:val="left" w:pos="7382"/>
        </w:tabs>
        <w:kinsoku w:val="0"/>
        <w:overflowPunct w:val="0"/>
        <w:ind w:left="31"/>
        <w:jc w:val="center"/>
        <w:rPr>
          <w:sz w:val="17"/>
          <w:szCs w:val="17"/>
        </w:rPr>
      </w:pPr>
      <w:r>
        <mc:AlternateContent>
          <mc:Choice Requires="wps">
            <w:drawing>
              <wp:anchor distT="0" distB="0" distL="114300" distR="114300" simplePos="0" relativeHeight="251660288" behindDoc="1" locked="0" layoutInCell="0" allowOverlap="1">
                <wp:simplePos x="0" y="0"/>
                <wp:positionH relativeFrom="page">
                  <wp:posOffset>895350</wp:posOffset>
                </wp:positionH>
                <wp:positionV relativeFrom="paragraph">
                  <wp:posOffset>196850</wp:posOffset>
                </wp:positionV>
                <wp:extent cx="5946140" cy="76200"/>
                <wp:effectExtent l="0" t="0" r="0" b="0"/>
                <wp:wrapNone/>
                <wp:docPr id="5" name="任意多边形 5"/>
                <wp:cNvGraphicFramePr/>
                <a:graphic xmlns:a="http://schemas.openxmlformats.org/drawingml/2006/main">
                  <a:graphicData uri="http://schemas.microsoft.com/office/word/2010/wordprocessingShape">
                    <wps:wsp>
                      <wps:cNvSpPr/>
                      <wps:spPr bwMode="auto">
                        <a:xfrm flipV="1">
                          <a:off x="0" y="0"/>
                          <a:ext cx="5946140" cy="7620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shape id="_x0000_s1026" o:spid="_x0000_s1026" o:spt="100" style="position:absolute;left:0pt;flip:y;margin-left:70.5pt;margin-top:15.5pt;height:6pt;width:468.2pt;mso-position-horizontal-relative:page;z-index:-251656192;mso-width-relative:page;mso-height-relative:page;" filled="f" stroked="t" coordsize="9641,20" o:allowincell="f" o:gfxdata="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DPTXJPWAAAACgEAAA8AAAAAAAAAAQAgAAAAIgAAAGRycy9kb3ducmV2&#10;LnhtbFBLAQIUABQAAAAIAIdO4kClvOkj4gIAABkGAAAOAAAAAAAAAAEAIAAAACUBAABkcnMvZTJv&#10;RG9jLnhtbFBLBQYAAAAABgAGAFkBAAB5BgAAAAA=&#10;" path="m0,0l9640,0e">
                <v:path o:connectlocs="0,0;5945523,0" o:connectangles="0,0"/>
                <v:fill on="f" focussize="0,0"/>
                <v:stroke weight="0.5pt" color="#000000 [3200]" miterlimit="8" joinstyle="miter"/>
                <v:imagedata o:title=""/>
                <o:lock v:ext="edit" aspectratio="f"/>
              </v:shape>
            </w:pict>
          </mc:Fallback>
        </mc:AlternateContent>
      </w:r>
      <w:r>
        <w:rPr>
          <w:rFonts w:hint="eastAsia" w:ascii="黑体" w:hAnsi="黑体" w:eastAsia="黑体" w:cs="黑体"/>
          <w:spacing w:val="1"/>
          <w:w w:val="95"/>
          <w:sz w:val="28"/>
          <w:szCs w:val="28"/>
        </w:rPr>
        <w:t>2</w:t>
      </w:r>
      <w:r>
        <w:rPr>
          <w:rFonts w:hint="eastAsia" w:ascii="黑体" w:hAnsi="黑体" w:eastAsia="黑体" w:cs="黑体"/>
          <w:spacing w:val="-3"/>
          <w:w w:val="95"/>
          <w:sz w:val="28"/>
          <w:szCs w:val="28"/>
        </w:rPr>
        <w:t>022</w:t>
      </w:r>
      <w:r>
        <w:rPr>
          <w:rFonts w:hint="eastAsia" w:ascii="黑体" w:hAnsi="黑体" w:eastAsia="黑体" w:cs="黑体"/>
          <w:spacing w:val="-2"/>
          <w:w w:val="95"/>
          <w:sz w:val="28"/>
          <w:szCs w:val="28"/>
        </w:rPr>
        <w:t>-**-**</w:t>
      </w:r>
      <w:r>
        <w:rPr>
          <w:rFonts w:hint="eastAsia" w:ascii="黑体" w:hAnsi="黑体" w:eastAsia="黑体" w:cs="黑体"/>
          <w:spacing w:val="3"/>
          <w:w w:val="95"/>
          <w:sz w:val="28"/>
          <w:szCs w:val="28"/>
        </w:rPr>
        <w:t xml:space="preserve"> </w:t>
      </w:r>
      <w:r>
        <w:rPr>
          <w:rFonts w:hint="eastAsia" w:ascii="黑体" w:hAnsi="黑体" w:eastAsia="黑体" w:cs="黑体"/>
          <w:spacing w:val="-1"/>
          <w:w w:val="95"/>
          <w:sz w:val="28"/>
          <w:szCs w:val="28"/>
        </w:rPr>
        <w:t>发</w:t>
      </w:r>
      <w:r>
        <w:rPr>
          <w:rFonts w:hint="eastAsia" w:ascii="黑体" w:hAnsi="黑体" w:eastAsia="黑体" w:cs="黑体"/>
          <w:w w:val="95"/>
          <w:sz w:val="28"/>
          <w:szCs w:val="28"/>
        </w:rPr>
        <w:t>布</w:t>
      </w:r>
      <w:r>
        <w:rPr>
          <w:rFonts w:hint="eastAsia" w:ascii="黑体" w:hAnsi="黑体" w:eastAsia="黑体" w:cs="黑体"/>
          <w:w w:val="95"/>
          <w:sz w:val="28"/>
          <w:szCs w:val="28"/>
        </w:rPr>
        <w:tab/>
      </w:r>
      <w:r>
        <w:rPr>
          <w:rFonts w:hint="eastAsia" w:ascii="黑体" w:hAnsi="黑体" w:eastAsia="黑体" w:cs="黑体"/>
          <w:spacing w:val="1"/>
          <w:w w:val="95"/>
          <w:sz w:val="28"/>
          <w:szCs w:val="28"/>
        </w:rPr>
        <w:t>2</w:t>
      </w:r>
      <w:r>
        <w:rPr>
          <w:rFonts w:hint="eastAsia" w:ascii="黑体" w:hAnsi="黑体" w:eastAsia="黑体" w:cs="黑体"/>
          <w:spacing w:val="-3"/>
          <w:w w:val="95"/>
          <w:sz w:val="28"/>
          <w:szCs w:val="28"/>
        </w:rPr>
        <w:t>022</w:t>
      </w:r>
      <w:r>
        <w:rPr>
          <w:rFonts w:hint="eastAsia" w:ascii="黑体" w:hAnsi="黑体" w:eastAsia="黑体" w:cs="黑体"/>
          <w:spacing w:val="-2"/>
          <w:w w:val="95"/>
          <w:sz w:val="28"/>
          <w:szCs w:val="28"/>
        </w:rPr>
        <w:t>-**-**</w:t>
      </w:r>
      <w:r>
        <w:rPr>
          <w:rFonts w:hint="eastAsia" w:ascii="黑体" w:hAnsi="黑体" w:eastAsia="黑体" w:cs="黑体"/>
          <w:spacing w:val="-33"/>
          <w:w w:val="95"/>
          <w:sz w:val="28"/>
          <w:szCs w:val="28"/>
        </w:rPr>
        <w:t xml:space="preserve"> </w:t>
      </w:r>
      <w:r>
        <w:rPr>
          <w:rFonts w:hint="eastAsia" w:ascii="黑体" w:hAnsi="黑体" w:eastAsia="黑体" w:cs="黑体"/>
          <w:spacing w:val="-1"/>
          <w:w w:val="95"/>
          <w:sz w:val="28"/>
          <w:szCs w:val="28"/>
        </w:rPr>
        <w:t>实</w:t>
      </w:r>
      <w:r>
        <w:rPr>
          <w:rFonts w:hint="eastAsia" w:ascii="黑体" w:hAnsi="黑体" w:eastAsia="黑体" w:cs="黑体"/>
          <w:w w:val="95"/>
          <w:sz w:val="28"/>
          <w:szCs w:val="28"/>
        </w:rPr>
        <w:t>施</w:t>
      </w:r>
    </w:p>
    <w:p>
      <w:pPr>
        <w:tabs>
          <w:tab w:val="left" w:pos="7099"/>
        </w:tabs>
        <w:kinsoku w:val="0"/>
        <w:overflowPunct w:val="0"/>
        <w:ind w:left="170"/>
        <w:jc w:val="center"/>
        <w:rPr>
          <w:rFonts w:ascii="黑体" w:hAnsi="黑体" w:eastAsia="黑体" w:cs="黑体"/>
          <w:spacing w:val="5"/>
          <w:w w:val="125"/>
          <w:sz w:val="28"/>
          <w:szCs w:val="28"/>
        </w:rPr>
      </w:pPr>
    </w:p>
    <w:p>
      <w:pPr>
        <w:tabs>
          <w:tab w:val="left" w:pos="7099"/>
        </w:tabs>
        <w:kinsoku w:val="0"/>
        <w:overflowPunct w:val="0"/>
        <w:ind w:left="170"/>
        <w:jc w:val="center"/>
        <w:rPr>
          <w:rFonts w:ascii="黑体" w:hAnsi="黑体" w:eastAsia="黑体" w:cs="黑体"/>
          <w:spacing w:val="5"/>
          <w:w w:val="125"/>
          <w:sz w:val="28"/>
          <w:szCs w:val="28"/>
        </w:rPr>
      </w:pPr>
    </w:p>
    <w:p>
      <w:pPr>
        <w:jc w:val="center"/>
        <w:rPr>
          <w:rFonts w:ascii="黑体" w:hAnsi="黑体" w:eastAsia="黑体" w:cs="黑体"/>
          <w:sz w:val="28"/>
          <w:szCs w:val="28"/>
        </w:rPr>
      </w:pPr>
      <w:r>
        <w:rPr>
          <w:rFonts w:hint="eastAsia" w:ascii="黑体" w:hAnsi="黑体" w:eastAsia="黑体" w:cs="黑体"/>
          <w:sz w:val="28"/>
          <w:szCs w:val="28"/>
        </w:rPr>
        <w:t>广东省市场监督管理局</w:t>
      </w:r>
      <w:r>
        <w:rPr>
          <w:rFonts w:hint="eastAsia" w:ascii="黑体" w:hAnsi="黑体" w:eastAsia="黑体" w:cs="黑体"/>
          <w:sz w:val="28"/>
          <w:szCs w:val="28"/>
        </w:rPr>
        <w:tab/>
      </w:r>
      <w:r>
        <w:rPr>
          <w:rFonts w:hint="eastAsia" w:ascii="黑体" w:hAnsi="黑体" w:eastAsia="黑体" w:cs="黑体"/>
          <w:sz w:val="28"/>
          <w:szCs w:val="28"/>
        </w:rPr>
        <w:t xml:space="preserve">  发 布</w:t>
      </w:r>
    </w:p>
    <w:p>
      <w:pPr>
        <w:tabs>
          <w:tab w:val="left" w:pos="7099"/>
        </w:tabs>
        <w:jc w:val="center"/>
        <w:rPr>
          <w:rFonts w:ascii="黑体" w:hAnsi="黑体" w:eastAsia="黑体" w:cs="黑体"/>
          <w:sz w:val="28"/>
          <w:szCs w:val="28"/>
        </w:rPr>
        <w:sectPr>
          <w:headerReference r:id="rId3" w:type="default"/>
          <w:footerReference r:id="rId4" w:type="default"/>
          <w:pgSz w:w="11907" w:h="16840"/>
          <w:pgMar w:top="567" w:right="1100" w:bottom="1134" w:left="1417" w:header="720" w:footer="720" w:gutter="0"/>
          <w:pgNumType w:start="1"/>
          <w:cols w:space="720" w:num="1"/>
        </w:sectPr>
      </w:pPr>
    </w:p>
    <w:p>
      <w:pPr>
        <w:spacing w:line="360" w:lineRule="auto"/>
        <w:jc w:val="center"/>
        <w:rPr>
          <w:rFonts w:ascii="黑体" w:hAnsi="黑体" w:eastAsia="黑体" w:cs="黑体"/>
          <w:bCs/>
          <w:sz w:val="32"/>
          <w:szCs w:val="32"/>
        </w:rPr>
      </w:pPr>
      <w:r>
        <w:rPr>
          <w:rFonts w:hint="eastAsia" w:ascii="黑体" w:hAnsi="黑体" w:eastAsia="黑体" w:cs="黑体"/>
          <w:bCs/>
          <w:sz w:val="32"/>
          <w:szCs w:val="32"/>
        </w:rPr>
        <w:t>目</w:t>
      </w:r>
      <w:r>
        <w:rPr>
          <w:rFonts w:ascii="黑体" w:hAnsi="黑体" w:eastAsia="黑体" w:cs="黑体"/>
          <w:bCs/>
          <w:sz w:val="32"/>
          <w:szCs w:val="32"/>
        </w:rPr>
        <w:t xml:space="preserve"> </w:t>
      </w:r>
      <w:r>
        <w:rPr>
          <w:rFonts w:hint="eastAsia" w:ascii="黑体" w:hAnsi="黑体" w:eastAsia="黑体" w:cs="黑体"/>
          <w:bCs/>
          <w:sz w:val="32"/>
          <w:szCs w:val="32"/>
        </w:rPr>
        <w:t>录</w:t>
      </w:r>
    </w:p>
    <w:p>
      <w:pPr>
        <w:spacing w:line="360" w:lineRule="auto"/>
        <w:jc w:val="center"/>
        <w:rPr>
          <w:rFonts w:ascii="仿宋" w:hAnsi="仿宋" w:eastAsia="仿宋" w:cs="仿宋_GB2312"/>
          <w:b/>
          <w:sz w:val="36"/>
          <w:szCs w:val="32"/>
        </w:rPr>
      </w:pPr>
    </w:p>
    <w:p>
      <w:pPr>
        <w:pStyle w:val="9"/>
        <w:tabs>
          <w:tab w:val="right" w:leader="dot" w:pos="9070"/>
        </w:tabs>
      </w:pPr>
      <w:r>
        <w:rPr>
          <w:rFonts w:hint="eastAsia" w:ascii="仿宋" w:hAnsi="仿宋" w:eastAsia="仿宋" w:cs="仿宋_GB2312"/>
          <w:b/>
          <w:bCs/>
          <w:szCs w:val="21"/>
        </w:rPr>
        <w:fldChar w:fldCharType="begin"/>
      </w:r>
      <w:r>
        <w:rPr>
          <w:rFonts w:ascii="仿宋" w:hAnsi="仿宋" w:eastAsia="仿宋" w:cs="仿宋_GB2312"/>
          <w:b/>
          <w:bCs/>
          <w:szCs w:val="21"/>
        </w:rPr>
        <w:instrText xml:space="preserve"> TOC \o "1-3" \h \z \u </w:instrText>
      </w:r>
      <w:r>
        <w:rPr>
          <w:rFonts w:hint="eastAsia" w:ascii="仿宋" w:hAnsi="仿宋" w:eastAsia="仿宋" w:cs="仿宋_GB2312"/>
          <w:b/>
          <w:bCs/>
          <w:szCs w:val="21"/>
        </w:rPr>
        <w:fldChar w:fldCharType="separate"/>
      </w:r>
      <w:r>
        <w:fldChar w:fldCharType="begin"/>
      </w:r>
      <w:r>
        <w:instrText xml:space="preserve"> HYPERLINK \l "_Toc2486" </w:instrText>
      </w:r>
      <w:r>
        <w:fldChar w:fldCharType="separate"/>
      </w:r>
      <w:r>
        <w:rPr>
          <w:rFonts w:hint="eastAsia" w:ascii="黑体" w:hAnsi="黑体" w:eastAsia="黑体" w:cs="黑体"/>
          <w:szCs w:val="32"/>
        </w:rPr>
        <w:t>前</w:t>
      </w:r>
      <w:r>
        <w:rPr>
          <w:rFonts w:ascii="黑体" w:hAnsi="黑体" w:eastAsia="黑体" w:cs="黑体"/>
          <w:szCs w:val="32"/>
        </w:rPr>
        <w:t xml:space="preserve">  </w:t>
      </w:r>
      <w:r>
        <w:rPr>
          <w:rFonts w:hint="eastAsia" w:ascii="黑体" w:hAnsi="黑体" w:eastAsia="黑体" w:cs="黑体"/>
          <w:szCs w:val="32"/>
        </w:rPr>
        <w:t>言</w:t>
      </w:r>
      <w:r>
        <w:tab/>
      </w:r>
      <w:r>
        <w:fldChar w:fldCharType="begin"/>
      </w:r>
      <w:r>
        <w:instrText xml:space="preserve"> PAGEREF _Toc2486 \h </w:instrText>
      </w:r>
      <w:r>
        <w:fldChar w:fldCharType="separate"/>
      </w:r>
      <w:r>
        <w:t>II</w:t>
      </w:r>
      <w:r>
        <w:fldChar w:fldCharType="end"/>
      </w:r>
      <w:r>
        <w:fldChar w:fldCharType="end"/>
      </w:r>
    </w:p>
    <w:p>
      <w:pPr>
        <w:pStyle w:val="9"/>
        <w:tabs>
          <w:tab w:val="right" w:leader="dot" w:pos="9070"/>
        </w:tabs>
      </w:pPr>
      <w:r>
        <w:fldChar w:fldCharType="begin"/>
      </w:r>
      <w:r>
        <w:instrText xml:space="preserve"> HYPERLINK \l "_Toc21199" </w:instrText>
      </w:r>
      <w:r>
        <w:fldChar w:fldCharType="separate"/>
      </w:r>
      <w:r>
        <w:rPr>
          <w:rFonts w:hint="eastAsia" w:ascii="黑体" w:hAnsi="黑体" w:eastAsia="黑体" w:cs="黑体"/>
          <w:bCs/>
          <w:szCs w:val="32"/>
        </w:rPr>
        <w:t>引</w:t>
      </w:r>
      <w:r>
        <w:rPr>
          <w:rFonts w:ascii="黑体" w:hAnsi="黑体" w:eastAsia="黑体" w:cs="黑体"/>
          <w:bCs/>
          <w:szCs w:val="32"/>
        </w:rPr>
        <w:t xml:space="preserve">   </w:t>
      </w:r>
      <w:r>
        <w:rPr>
          <w:rFonts w:hint="eastAsia" w:ascii="黑体" w:hAnsi="黑体" w:eastAsia="黑体" w:cs="黑体"/>
          <w:bCs/>
          <w:szCs w:val="32"/>
        </w:rPr>
        <w:t>言</w:t>
      </w:r>
      <w:r>
        <w:tab/>
      </w:r>
      <w:r>
        <w:fldChar w:fldCharType="begin"/>
      </w:r>
      <w:r>
        <w:instrText xml:space="preserve"> PAGEREF _Toc21199 \h </w:instrText>
      </w:r>
      <w:r>
        <w:fldChar w:fldCharType="separate"/>
      </w:r>
      <w:r>
        <w:t>III</w:t>
      </w:r>
      <w:r>
        <w:fldChar w:fldCharType="end"/>
      </w:r>
      <w:r>
        <w:fldChar w:fldCharType="end"/>
      </w:r>
    </w:p>
    <w:p>
      <w:pPr>
        <w:pStyle w:val="9"/>
        <w:tabs>
          <w:tab w:val="right" w:leader="dot" w:pos="9070"/>
        </w:tabs>
      </w:pPr>
      <w:r>
        <w:fldChar w:fldCharType="begin"/>
      </w:r>
      <w:r>
        <w:instrText xml:space="preserve"> HYPERLINK \l "_Toc23828" </w:instrText>
      </w:r>
      <w:r>
        <w:fldChar w:fldCharType="separate"/>
      </w:r>
      <w:r>
        <w:rPr>
          <w:rFonts w:ascii="黑体" w:hAnsi="黑体" w:eastAsia="黑体" w:cs="黑体"/>
          <w:szCs w:val="21"/>
        </w:rPr>
        <w:t xml:space="preserve">1 </w:t>
      </w:r>
      <w:r>
        <w:rPr>
          <w:rFonts w:hint="eastAsia" w:ascii="黑体" w:hAnsi="黑体" w:eastAsia="黑体" w:cs="黑体"/>
          <w:szCs w:val="21"/>
        </w:rPr>
        <w:t>范围</w:t>
      </w:r>
      <w:r>
        <w:tab/>
      </w:r>
      <w:r>
        <w:fldChar w:fldCharType="begin"/>
      </w:r>
      <w:r>
        <w:instrText xml:space="preserve"> PAGEREF _Toc23828 \h </w:instrText>
      </w:r>
      <w:r>
        <w:fldChar w:fldCharType="separate"/>
      </w:r>
      <w:r>
        <w:t>1</w:t>
      </w:r>
      <w:r>
        <w:fldChar w:fldCharType="end"/>
      </w:r>
      <w:r>
        <w:fldChar w:fldCharType="end"/>
      </w:r>
    </w:p>
    <w:p>
      <w:pPr>
        <w:pStyle w:val="9"/>
        <w:tabs>
          <w:tab w:val="right" w:leader="dot" w:pos="9070"/>
        </w:tabs>
      </w:pPr>
      <w:r>
        <w:fldChar w:fldCharType="begin"/>
      </w:r>
      <w:r>
        <w:instrText xml:space="preserve"> HYPERLINK \l "_Toc7814" </w:instrText>
      </w:r>
      <w:r>
        <w:fldChar w:fldCharType="separate"/>
      </w:r>
      <w:r>
        <w:rPr>
          <w:rFonts w:ascii="黑体" w:hAnsi="黑体" w:eastAsia="黑体" w:cs="黑体"/>
          <w:szCs w:val="21"/>
        </w:rPr>
        <w:t xml:space="preserve">2 </w:t>
      </w:r>
      <w:r>
        <w:rPr>
          <w:rFonts w:hint="eastAsia" w:ascii="黑体" w:hAnsi="黑体" w:eastAsia="黑体" w:cs="黑体"/>
          <w:szCs w:val="21"/>
        </w:rPr>
        <w:t>规范性引用文件</w:t>
      </w:r>
      <w:r>
        <w:tab/>
      </w:r>
      <w:r>
        <w:fldChar w:fldCharType="begin"/>
      </w:r>
      <w:r>
        <w:instrText xml:space="preserve"> PAGEREF _Toc7814 \h </w:instrText>
      </w:r>
      <w:r>
        <w:fldChar w:fldCharType="separate"/>
      </w:r>
      <w:r>
        <w:t>1</w:t>
      </w:r>
      <w:r>
        <w:fldChar w:fldCharType="end"/>
      </w:r>
      <w:r>
        <w:fldChar w:fldCharType="end"/>
      </w:r>
    </w:p>
    <w:p>
      <w:pPr>
        <w:pStyle w:val="9"/>
        <w:tabs>
          <w:tab w:val="right" w:leader="dot" w:pos="9070"/>
        </w:tabs>
      </w:pPr>
      <w:r>
        <w:fldChar w:fldCharType="begin"/>
      </w:r>
      <w:r>
        <w:instrText xml:space="preserve"> HYPERLINK \l "_Toc18076" </w:instrText>
      </w:r>
      <w:r>
        <w:fldChar w:fldCharType="separate"/>
      </w:r>
      <w:r>
        <w:rPr>
          <w:rFonts w:ascii="黑体" w:hAnsi="黑体" w:eastAsia="黑体" w:cs="黑体"/>
          <w:szCs w:val="21"/>
        </w:rPr>
        <w:t xml:space="preserve">3 </w:t>
      </w:r>
      <w:r>
        <w:rPr>
          <w:rFonts w:hint="eastAsia" w:ascii="黑体" w:hAnsi="黑体" w:eastAsia="黑体" w:cs="黑体"/>
          <w:szCs w:val="21"/>
        </w:rPr>
        <w:t>术语和定义</w:t>
      </w:r>
      <w:r>
        <w:tab/>
      </w:r>
      <w:r>
        <w:fldChar w:fldCharType="begin"/>
      </w:r>
      <w:r>
        <w:instrText xml:space="preserve"> PAGEREF _Toc18076 \h </w:instrText>
      </w:r>
      <w:r>
        <w:fldChar w:fldCharType="separate"/>
      </w:r>
      <w:r>
        <w:t>1</w:t>
      </w:r>
      <w:r>
        <w:fldChar w:fldCharType="end"/>
      </w:r>
      <w:r>
        <w:fldChar w:fldCharType="end"/>
      </w:r>
    </w:p>
    <w:p>
      <w:pPr>
        <w:pStyle w:val="9"/>
        <w:tabs>
          <w:tab w:val="right" w:leader="dot" w:pos="9070"/>
        </w:tabs>
      </w:pPr>
      <w:r>
        <w:fldChar w:fldCharType="begin"/>
      </w:r>
      <w:r>
        <w:instrText xml:space="preserve"> HYPERLINK \l "_Toc8586" </w:instrText>
      </w:r>
      <w:r>
        <w:fldChar w:fldCharType="separate"/>
      </w:r>
      <w:r>
        <w:rPr>
          <w:rFonts w:ascii="黑体" w:hAnsi="黑体" w:eastAsia="黑体" w:cs="黑体"/>
          <w:szCs w:val="21"/>
        </w:rPr>
        <w:t xml:space="preserve">4 </w:t>
      </w:r>
      <w:r>
        <w:rPr>
          <w:rFonts w:ascii="黑体" w:hAnsi="黑体" w:eastAsia="黑体" w:cs="黑体"/>
          <w:szCs w:val="21"/>
          <w:lang w:eastAsia="zh-Hans"/>
        </w:rPr>
        <w:t>总则</w:t>
      </w:r>
      <w:r>
        <w:tab/>
      </w:r>
      <w:r>
        <w:fldChar w:fldCharType="begin"/>
      </w:r>
      <w:r>
        <w:instrText xml:space="preserve"> PAGEREF _Toc8586 \h </w:instrText>
      </w:r>
      <w:r>
        <w:fldChar w:fldCharType="separate"/>
      </w:r>
      <w:r>
        <w:t>1</w:t>
      </w:r>
      <w:r>
        <w:fldChar w:fldCharType="end"/>
      </w:r>
      <w:r>
        <w:fldChar w:fldCharType="end"/>
      </w:r>
    </w:p>
    <w:p>
      <w:pPr>
        <w:pStyle w:val="9"/>
        <w:tabs>
          <w:tab w:val="right" w:leader="dot" w:pos="9070"/>
        </w:tabs>
      </w:pPr>
      <w:r>
        <w:fldChar w:fldCharType="begin"/>
      </w:r>
      <w:r>
        <w:instrText xml:space="preserve"> HYPERLINK \l "_Toc3557" </w:instrText>
      </w:r>
      <w:r>
        <w:fldChar w:fldCharType="separate"/>
      </w:r>
      <w:r>
        <w:rPr>
          <w:rFonts w:hint="eastAsia" w:ascii="黑体" w:hAnsi="黑体" w:eastAsia="黑体" w:cs="黑体"/>
          <w:kern w:val="44"/>
          <w:szCs w:val="21"/>
        </w:rPr>
        <w:t>5</w:t>
      </w:r>
      <w:r>
        <w:rPr>
          <w:rFonts w:ascii="黑体" w:hAnsi="黑体" w:eastAsia="黑体" w:cs="黑体"/>
          <w:kern w:val="44"/>
          <w:szCs w:val="21"/>
        </w:rPr>
        <w:t xml:space="preserve"> </w:t>
      </w:r>
      <w:r>
        <w:rPr>
          <w:rFonts w:hint="eastAsia" w:ascii="黑体" w:hAnsi="黑体" w:eastAsia="黑体" w:cs="黑体"/>
          <w:kern w:val="44"/>
          <w:szCs w:val="21"/>
        </w:rPr>
        <w:t>架空缆线通航尺度</w:t>
      </w:r>
      <w:r>
        <w:tab/>
      </w:r>
      <w:r>
        <w:fldChar w:fldCharType="begin"/>
      </w:r>
      <w:r>
        <w:instrText xml:space="preserve"> PAGEREF _Toc3557 \h </w:instrText>
      </w:r>
      <w:r>
        <w:fldChar w:fldCharType="separate"/>
      </w:r>
      <w:r>
        <w:t>1</w:t>
      </w:r>
      <w:r>
        <w:fldChar w:fldCharType="end"/>
      </w:r>
      <w:r>
        <w:fldChar w:fldCharType="end"/>
      </w:r>
    </w:p>
    <w:p>
      <w:pPr>
        <w:pStyle w:val="9"/>
        <w:tabs>
          <w:tab w:val="right" w:leader="dot" w:pos="9070"/>
        </w:tabs>
      </w:pPr>
      <w:r>
        <w:fldChar w:fldCharType="begin"/>
      </w:r>
      <w:r>
        <w:instrText xml:space="preserve"> HYPERLINK \l "_Toc11600" </w:instrText>
      </w:r>
      <w:r>
        <w:fldChar w:fldCharType="separate"/>
      </w:r>
      <w:r>
        <w:rPr>
          <w:rFonts w:hint="eastAsia" w:ascii="黑体" w:hAnsi="黑体" w:eastAsia="黑体" w:cs="黑体"/>
          <w:szCs w:val="21"/>
        </w:rPr>
        <w:t>6</w:t>
      </w:r>
      <w:r>
        <w:rPr>
          <w:rFonts w:ascii="黑体" w:hAnsi="黑体" w:eastAsia="黑体" w:cs="黑体"/>
          <w:szCs w:val="21"/>
        </w:rPr>
        <w:t xml:space="preserve"> </w:t>
      </w:r>
      <w:r>
        <w:rPr>
          <w:rFonts w:hint="eastAsia" w:ascii="黑体" w:hAnsi="黑体" w:eastAsia="黑体" w:cs="黑体"/>
          <w:szCs w:val="21"/>
        </w:rPr>
        <w:t>设计最高通航水位</w:t>
      </w:r>
      <w:r>
        <w:tab/>
      </w:r>
      <w:r>
        <w:fldChar w:fldCharType="begin"/>
      </w:r>
      <w:r>
        <w:instrText xml:space="preserve"> PAGEREF _Toc11600 \h </w:instrText>
      </w:r>
      <w:r>
        <w:fldChar w:fldCharType="separate"/>
      </w:r>
      <w:r>
        <w:t>2</w:t>
      </w:r>
      <w:r>
        <w:fldChar w:fldCharType="end"/>
      </w:r>
      <w:r>
        <w:fldChar w:fldCharType="end"/>
      </w:r>
    </w:p>
    <w:p>
      <w:pPr>
        <w:kinsoku w:val="0"/>
        <w:overflowPunct w:val="0"/>
        <w:ind w:right="4"/>
        <w:jc w:val="center"/>
        <w:rPr>
          <w:rFonts w:ascii="Microsoft JhengHei" w:eastAsia="Microsoft JhengHei" w:cs="Microsoft JhengHei"/>
          <w:spacing w:val="2"/>
          <w:sz w:val="52"/>
          <w:szCs w:val="52"/>
        </w:rPr>
        <w:sectPr>
          <w:footerReference r:id="rId5" w:type="default"/>
          <w:pgSz w:w="11906" w:h="16838"/>
          <w:pgMar w:top="1418" w:right="1418" w:bottom="1134" w:left="1418" w:header="851" w:footer="992" w:gutter="0"/>
          <w:pgNumType w:fmt="upperRoman" w:start="1"/>
          <w:cols w:space="425" w:num="1"/>
          <w:docGrid w:type="lines" w:linePitch="312" w:charSpace="0"/>
        </w:sectPr>
      </w:pPr>
      <w:r>
        <w:rPr>
          <w:rFonts w:hint="eastAsia" w:ascii="仿宋" w:hAnsi="仿宋" w:eastAsia="仿宋" w:cs="仿宋_GB2312"/>
          <w:bCs/>
          <w:szCs w:val="21"/>
          <w:lang w:val="zh-CN"/>
        </w:rPr>
        <w:fldChar w:fldCharType="end"/>
      </w:r>
      <w:r>
        <w:rPr>
          <w:rFonts w:hint="eastAsia" w:ascii="Microsoft JhengHei" w:eastAsia="Microsoft JhengHei" w:cs="Microsoft JhengHei"/>
          <w:spacing w:val="2"/>
          <w:sz w:val="52"/>
          <w:szCs w:val="52"/>
        </w:rPr>
        <w:br w:type="page"/>
      </w:r>
    </w:p>
    <w:p>
      <w:pPr>
        <w:kinsoku w:val="0"/>
        <w:overflowPunct w:val="0"/>
        <w:ind w:right="4"/>
        <w:jc w:val="center"/>
        <w:rPr>
          <w:rStyle w:val="19"/>
          <w:rFonts w:ascii="黑体" w:hAnsi="黑体" w:eastAsia="黑体" w:cs="黑体"/>
          <w:szCs w:val="32"/>
        </w:rPr>
      </w:pPr>
      <w:bookmarkStart w:id="4" w:name="_Toc1605562488"/>
      <w:bookmarkStart w:id="5" w:name="_Toc34818776"/>
      <w:bookmarkStart w:id="6" w:name="_Toc11705141"/>
      <w:bookmarkStart w:id="7" w:name="_Toc12983"/>
      <w:bookmarkStart w:id="8" w:name="_Toc2486"/>
      <w:bookmarkStart w:id="9" w:name="_Toc30660"/>
      <w:bookmarkStart w:id="10" w:name="_Toc5254"/>
      <w:r>
        <w:rPr>
          <w:rStyle w:val="19"/>
          <w:rFonts w:hint="eastAsia" w:ascii="黑体" w:hAnsi="黑体" w:eastAsia="黑体" w:cs="黑体"/>
          <w:szCs w:val="32"/>
        </w:rPr>
        <w:t>前</w:t>
      </w:r>
      <w:r>
        <w:rPr>
          <w:rStyle w:val="19"/>
          <w:rFonts w:ascii="黑体" w:hAnsi="黑体" w:eastAsia="黑体" w:cs="黑体"/>
          <w:szCs w:val="32"/>
        </w:rPr>
        <w:t xml:space="preserve">  </w:t>
      </w:r>
      <w:r>
        <w:rPr>
          <w:rStyle w:val="19"/>
          <w:rFonts w:hint="eastAsia" w:ascii="黑体" w:hAnsi="黑体" w:eastAsia="黑体" w:cs="黑体"/>
          <w:szCs w:val="32"/>
        </w:rPr>
        <w:t>言</w:t>
      </w:r>
      <w:bookmarkEnd w:id="4"/>
      <w:bookmarkEnd w:id="5"/>
      <w:bookmarkEnd w:id="6"/>
    </w:p>
    <w:bookmarkEnd w:id="7"/>
    <w:bookmarkEnd w:id="8"/>
    <w:bookmarkEnd w:id="9"/>
    <w:bookmarkEnd w:id="10"/>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本文件按照GB/T 1.1—2020《标准化工作导则  第1部分：标准化文件的结构和起草规则》的规定起草。</w:t>
      </w:r>
    </w:p>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本标准由广东省交通运输厅提出。</w:t>
      </w:r>
    </w:p>
    <w:p>
      <w:pPr>
        <w:pStyle w:val="2"/>
      </w:pPr>
      <w:r>
        <w:rPr>
          <w:rFonts w:hint="eastAsia" w:asciiTheme="minorEastAsia" w:hAnsiTheme="minorEastAsia" w:cstheme="minorEastAsia"/>
          <w:szCs w:val="21"/>
        </w:rPr>
        <w:t>本文件由广东省交通运输标准化技术委员会（GD/TC 133）归口。</w:t>
      </w:r>
    </w:p>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本标准起草单位：广东省交通运输厅、广东省航道事务中心、广东省交通运输规划研究中心</w:t>
      </w:r>
    </w:p>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本标准主要起草人：</w:t>
      </w:r>
    </w:p>
    <w:p>
      <w:pPr>
        <w:pStyle w:val="2"/>
      </w:pPr>
      <w:r>
        <w:rPr>
          <w:rFonts w:hint="eastAsia" w:asciiTheme="minorEastAsia" w:hAnsiTheme="minorEastAsia" w:cstheme="minorEastAsia"/>
          <w:szCs w:val="21"/>
        </w:rPr>
        <w:t>广东省交通运输厅：刘畅、薛波</w:t>
      </w:r>
    </w:p>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广东省航道事务中心：黄建权、谢柳仙、成斌、徐泽权、孙燕群、陈永锐、丘理育、钟丹漫、张桦、陈学华、刘婷珊、李倩</w:t>
      </w:r>
    </w:p>
    <w:p>
      <w:pPr>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广东省交通运输规划研究中心：刘宏霄、陈振春、谢凌峰、郑健良、申其国、耿颖、樊清清</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br w:type="page"/>
      </w:r>
    </w:p>
    <w:p>
      <w:pPr>
        <w:kinsoku w:val="0"/>
        <w:overflowPunct w:val="0"/>
        <w:ind w:right="4"/>
        <w:jc w:val="center"/>
        <w:rPr>
          <w:rStyle w:val="19"/>
          <w:rFonts w:ascii="黑体" w:hAnsi="黑体" w:eastAsia="黑体" w:cs="黑体"/>
          <w:b/>
          <w:bCs/>
          <w:szCs w:val="32"/>
        </w:rPr>
      </w:pPr>
      <w:bookmarkStart w:id="11" w:name="_Toc34818777"/>
      <w:bookmarkStart w:id="12" w:name="_Toc1307292910"/>
      <w:bookmarkStart w:id="13" w:name="_Toc1556711261"/>
      <w:bookmarkStart w:id="14" w:name="_Toc15266"/>
      <w:bookmarkStart w:id="15" w:name="_Toc24751"/>
      <w:bookmarkStart w:id="16" w:name="_Toc21199"/>
      <w:bookmarkStart w:id="17" w:name="_Toc2442"/>
      <w:r>
        <w:rPr>
          <w:rStyle w:val="19"/>
          <w:rFonts w:hint="eastAsia" w:ascii="黑体" w:hAnsi="黑体" w:eastAsia="黑体" w:cs="黑体"/>
          <w:b/>
          <w:bCs/>
          <w:szCs w:val="32"/>
        </w:rPr>
        <w:t>引</w:t>
      </w:r>
      <w:r>
        <w:rPr>
          <w:rStyle w:val="19"/>
          <w:rFonts w:ascii="黑体" w:hAnsi="黑体" w:eastAsia="黑体" w:cs="黑体"/>
          <w:b/>
          <w:bCs/>
          <w:szCs w:val="32"/>
        </w:rPr>
        <w:t xml:space="preserve">   </w:t>
      </w:r>
      <w:r>
        <w:rPr>
          <w:rStyle w:val="19"/>
          <w:rFonts w:hint="eastAsia" w:ascii="黑体" w:hAnsi="黑体" w:eastAsia="黑体" w:cs="黑体"/>
          <w:b/>
          <w:bCs/>
          <w:szCs w:val="32"/>
        </w:rPr>
        <w:t>言</w:t>
      </w:r>
      <w:bookmarkEnd w:id="11"/>
      <w:bookmarkEnd w:id="12"/>
      <w:bookmarkEnd w:id="13"/>
    </w:p>
    <w:bookmarkEnd w:id="14"/>
    <w:bookmarkEnd w:id="15"/>
    <w:bookmarkEnd w:id="16"/>
    <w:bookmarkEnd w:id="17"/>
    <w:p>
      <w:pPr>
        <w:spacing w:line="360" w:lineRule="auto"/>
        <w:ind w:firstLine="420" w:firstLineChars="200"/>
        <w:rPr>
          <w:szCs w:val="21"/>
        </w:rPr>
      </w:pPr>
      <w:r>
        <w:rPr>
          <w:rFonts w:hint="eastAsia"/>
          <w:szCs w:val="21"/>
        </w:rPr>
        <w:t>随着经济社会的快速发展和城镇化建设，</w:t>
      </w:r>
      <w:r>
        <w:rPr>
          <w:szCs w:val="21"/>
        </w:rPr>
        <w:t>广东省内河航道</w:t>
      </w:r>
      <w:r>
        <w:rPr>
          <w:rFonts w:hint="eastAsia"/>
          <w:szCs w:val="21"/>
        </w:rPr>
        <w:t>水上过河电力、通讯、水文观测等缆线数量显著增加，内河航道架空缆线净空高度限制已成为影响内河航道通航的</w:t>
      </w:r>
      <w:r>
        <w:rPr>
          <w:szCs w:val="21"/>
        </w:rPr>
        <w:t>重要因素之一。</w:t>
      </w:r>
      <w:r>
        <w:rPr>
          <w:rFonts w:hint="eastAsia"/>
          <w:szCs w:val="21"/>
        </w:rPr>
        <w:t>本文件在借鉴相关标准、规范的基础上，对内河航道架空缆线</w:t>
      </w:r>
      <w:r>
        <w:rPr>
          <w:rFonts w:hint="eastAsia" w:ascii="宋体" w:hAnsi="宋体"/>
          <w:szCs w:val="21"/>
        </w:rPr>
        <w:t>通航尺度的取值作出明确规定，对充分发挥内河水运资源优势，保障内河航道通航和架空缆线安全，促进广东省水运事业可持续发展</w:t>
      </w:r>
      <w:r>
        <w:rPr>
          <w:rFonts w:hint="eastAsia"/>
          <w:szCs w:val="21"/>
        </w:rPr>
        <w:t>具有重要意义。</w:t>
      </w:r>
    </w:p>
    <w:p>
      <w:pPr>
        <w:spacing w:line="360" w:lineRule="auto"/>
        <w:ind w:firstLine="560" w:firstLineChars="200"/>
        <w:rPr>
          <w:sz w:val="28"/>
          <w:szCs w:val="28"/>
        </w:rPr>
      </w:pPr>
    </w:p>
    <w:p>
      <w:pPr>
        <w:ind w:firstLine="560" w:firstLineChars="200"/>
        <w:rPr>
          <w:rFonts w:ascii="宋体" w:hAnsi="宋体"/>
          <w:sz w:val="28"/>
          <w:szCs w:val="28"/>
        </w:rPr>
      </w:pPr>
    </w:p>
    <w:p>
      <w:pPr>
        <w:pStyle w:val="3"/>
        <w:spacing w:before="156" w:after="156" w:afterLines="50"/>
        <w:jc w:val="center"/>
        <w:rPr>
          <w:rFonts w:ascii="仿宋" w:hAnsi="仿宋" w:eastAsia="仿宋" w:cs="仿宋_GB2312"/>
          <w:sz w:val="28"/>
          <w:szCs w:val="28"/>
        </w:rPr>
        <w:sectPr>
          <w:footerReference r:id="rId6" w:type="default"/>
          <w:pgSz w:w="11906" w:h="16838"/>
          <w:pgMar w:top="1418" w:right="1418" w:bottom="1134" w:left="1418" w:header="851" w:footer="992" w:gutter="0"/>
          <w:pgNumType w:fmt="upperRoman"/>
          <w:cols w:space="425" w:num="1"/>
          <w:docGrid w:type="lines" w:linePitch="312" w:charSpace="0"/>
        </w:sectPr>
      </w:pPr>
      <w:bookmarkStart w:id="18" w:name="_Toc766745913"/>
      <w:bookmarkStart w:id="19" w:name="_Toc34818778"/>
      <w:bookmarkStart w:id="20" w:name="_Toc852892226"/>
    </w:p>
    <w:p>
      <w:pPr>
        <w:spacing w:before="156" w:after="156" w:afterLines="50"/>
        <w:jc w:val="center"/>
        <w:rPr>
          <w:rFonts w:ascii="Times New Roman" w:hAnsi="Times New Roman" w:cs="Times New Roman"/>
          <w:b/>
          <w:sz w:val="32"/>
          <w:szCs w:val="32"/>
        </w:rPr>
      </w:pPr>
      <w:r>
        <w:rPr>
          <w:rFonts w:hint="eastAsia" w:ascii="Times New Roman" w:hAnsi="Times New Roman" w:eastAsia="宋体" w:cs="Times New Roman"/>
          <w:b/>
          <w:sz w:val="32"/>
          <w:szCs w:val="32"/>
        </w:rPr>
        <w:t>内河航道架空缆线通航净空尺度标准</w:t>
      </w:r>
      <w:bookmarkEnd w:id="0"/>
      <w:bookmarkEnd w:id="1"/>
      <w:bookmarkEnd w:id="2"/>
      <w:bookmarkEnd w:id="3"/>
      <w:bookmarkEnd w:id="18"/>
      <w:bookmarkEnd w:id="19"/>
      <w:bookmarkEnd w:id="20"/>
    </w:p>
    <w:p>
      <w:pPr>
        <w:pStyle w:val="3"/>
        <w:snapToGrid/>
        <w:spacing w:before="312" w:beforeLines="100" w:after="312" w:afterLines="100" w:line="240" w:lineRule="auto"/>
        <w:rPr>
          <w:rFonts w:ascii="黑体" w:hAnsi="黑体" w:eastAsia="黑体" w:cs="黑体"/>
          <w:sz w:val="21"/>
          <w:szCs w:val="21"/>
        </w:rPr>
      </w:pPr>
      <w:bookmarkStart w:id="21" w:name="_Toc34818779"/>
      <w:bookmarkStart w:id="22" w:name="_Toc381"/>
      <w:bookmarkStart w:id="23" w:name="_Toc16584"/>
      <w:bookmarkStart w:id="24" w:name="_Toc26478"/>
      <w:bookmarkStart w:id="25" w:name="_Toc31639892"/>
      <w:bookmarkStart w:id="26" w:name="_Toc11097"/>
      <w:bookmarkStart w:id="27" w:name="_Toc1796677791"/>
      <w:bookmarkStart w:id="28" w:name="_Toc23828"/>
      <w:bookmarkStart w:id="29" w:name="_Toc106298657"/>
      <w:bookmarkStart w:id="30" w:name="_Toc30487"/>
      <w:bookmarkStart w:id="31" w:name="_Toc32073"/>
      <w:r>
        <w:rPr>
          <w:rFonts w:ascii="黑体" w:hAnsi="黑体" w:eastAsia="黑体" w:cs="黑体"/>
          <w:sz w:val="21"/>
          <w:szCs w:val="21"/>
        </w:rPr>
        <w:t xml:space="preserve">1 </w:t>
      </w:r>
      <w:bookmarkEnd w:id="21"/>
      <w:bookmarkEnd w:id="22"/>
      <w:bookmarkEnd w:id="23"/>
      <w:bookmarkEnd w:id="24"/>
      <w:bookmarkEnd w:id="25"/>
      <w:r>
        <w:rPr>
          <w:rFonts w:hint="eastAsia" w:ascii="黑体" w:hAnsi="黑体" w:eastAsia="黑体" w:cs="黑体"/>
          <w:sz w:val="21"/>
          <w:szCs w:val="21"/>
        </w:rPr>
        <w:t>范围</w:t>
      </w:r>
      <w:bookmarkEnd w:id="26"/>
      <w:bookmarkEnd w:id="27"/>
      <w:bookmarkEnd w:id="28"/>
      <w:bookmarkEnd w:id="29"/>
      <w:bookmarkEnd w:id="30"/>
      <w:bookmarkEnd w:id="31"/>
    </w:p>
    <w:p>
      <w:pPr>
        <w:snapToGrid w:val="0"/>
        <w:spacing w:line="360" w:lineRule="auto"/>
        <w:ind w:firstLine="420" w:firstLineChars="200"/>
        <w:rPr>
          <w:rFonts w:ascii="宋体" w:hAnsi="宋体"/>
          <w:szCs w:val="21"/>
        </w:rPr>
      </w:pPr>
      <w:r>
        <w:rPr>
          <w:rFonts w:hint="eastAsia" w:ascii="宋体" w:hAnsi="宋体"/>
          <w:szCs w:val="21"/>
        </w:rPr>
        <w:t>本标准适用于天然河流、渠化河流、湖泊、水库、运河和渠道等通航内河船舶或海轮的内河航道新建、扩建和改建架空缆线的规划、设计和航道通航条件影响评价。</w:t>
      </w:r>
    </w:p>
    <w:p>
      <w:pPr>
        <w:pStyle w:val="3"/>
        <w:spacing w:before="312" w:beforeLines="100" w:after="312" w:afterLines="100" w:line="240" w:lineRule="auto"/>
        <w:rPr>
          <w:rFonts w:ascii="黑体" w:hAnsi="黑体" w:eastAsia="黑体" w:cs="黑体"/>
          <w:sz w:val="21"/>
          <w:szCs w:val="21"/>
        </w:rPr>
      </w:pPr>
      <w:bookmarkStart w:id="32" w:name="_Toc25126"/>
      <w:bookmarkStart w:id="33" w:name="_Toc2002617542"/>
      <w:bookmarkStart w:id="34" w:name="_Toc996072870"/>
      <w:bookmarkStart w:id="35" w:name="_Toc19137"/>
      <w:bookmarkStart w:id="36" w:name="_Toc1350"/>
      <w:bookmarkStart w:id="37" w:name="_Toc7814"/>
      <w:bookmarkStart w:id="38" w:name="_Toc3284"/>
      <w:bookmarkStart w:id="39" w:name="_Toc4793"/>
      <w:bookmarkStart w:id="40" w:name="_Toc31639893"/>
      <w:bookmarkStart w:id="41" w:name="_Toc21170"/>
      <w:bookmarkStart w:id="42" w:name="_Toc34818780"/>
      <w:r>
        <w:rPr>
          <w:rFonts w:ascii="黑体" w:hAnsi="黑体" w:eastAsia="黑体" w:cs="黑体"/>
          <w:sz w:val="21"/>
          <w:szCs w:val="21"/>
        </w:rPr>
        <w:t xml:space="preserve">2 </w:t>
      </w:r>
      <w:r>
        <w:rPr>
          <w:rFonts w:hint="eastAsia" w:ascii="黑体" w:hAnsi="黑体" w:eastAsia="黑体" w:cs="黑体"/>
          <w:sz w:val="21"/>
          <w:szCs w:val="21"/>
        </w:rPr>
        <w:t>规范性引用文件</w:t>
      </w:r>
      <w:bookmarkEnd w:id="32"/>
      <w:bookmarkEnd w:id="33"/>
      <w:bookmarkEnd w:id="34"/>
      <w:bookmarkEnd w:id="35"/>
      <w:bookmarkEnd w:id="36"/>
      <w:bookmarkEnd w:id="37"/>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Times New Roman" w:hAnsi="Times New Roman" w:cs="Times New Roman"/>
        </w:rPr>
      </w:pPr>
      <w:r>
        <w:rPr>
          <w:rFonts w:ascii="Times New Roman" w:hAnsi="Times New Roman" w:eastAsia="宋体" w:cs="Times New Roman"/>
          <w:szCs w:val="21"/>
        </w:rPr>
        <w:t>GB50139-2014  《内河通航标准》</w:t>
      </w:r>
    </w:p>
    <w:p>
      <w:pPr>
        <w:pStyle w:val="3"/>
        <w:spacing w:before="312" w:beforeLines="100" w:after="312" w:afterLines="100" w:line="240" w:lineRule="auto"/>
        <w:rPr>
          <w:rFonts w:ascii="黑体" w:hAnsi="黑体" w:eastAsia="黑体" w:cs="黑体"/>
          <w:sz w:val="21"/>
          <w:szCs w:val="21"/>
        </w:rPr>
      </w:pPr>
      <w:bookmarkStart w:id="43" w:name="_Toc18076"/>
      <w:bookmarkStart w:id="44" w:name="_Toc25309"/>
      <w:bookmarkStart w:id="45" w:name="_Toc2492"/>
      <w:bookmarkStart w:id="46" w:name="_Toc481828963"/>
      <w:bookmarkStart w:id="47" w:name="_Toc11287"/>
      <w:bookmarkStart w:id="48" w:name="_Toc1361697725"/>
      <w:r>
        <w:rPr>
          <w:rFonts w:ascii="黑体" w:hAnsi="黑体" w:eastAsia="黑体" w:cs="黑体"/>
          <w:sz w:val="21"/>
          <w:szCs w:val="21"/>
        </w:rPr>
        <w:t xml:space="preserve">3 </w:t>
      </w:r>
      <w:r>
        <w:rPr>
          <w:rFonts w:hint="eastAsia" w:ascii="黑体" w:hAnsi="黑体" w:eastAsia="黑体" w:cs="黑体"/>
          <w:sz w:val="21"/>
          <w:szCs w:val="21"/>
        </w:rPr>
        <w:t>术语和定义</w:t>
      </w:r>
      <w:bookmarkEnd w:id="43"/>
      <w:bookmarkEnd w:id="44"/>
      <w:bookmarkEnd w:id="45"/>
      <w:bookmarkEnd w:id="46"/>
      <w:bookmarkEnd w:id="47"/>
      <w:bookmarkEnd w:id="48"/>
    </w:p>
    <w:p>
      <w:pPr>
        <w:spacing w:line="360" w:lineRule="auto"/>
        <w:rPr>
          <w:rFonts w:ascii="黑体" w:hAnsi="黑体" w:eastAsia="黑体" w:cs="黑体"/>
          <w:szCs w:val="21"/>
        </w:rPr>
      </w:pPr>
      <w:r>
        <w:rPr>
          <w:rFonts w:hint="eastAsia" w:ascii="黑体" w:hAnsi="黑体" w:eastAsia="黑体" w:cs="黑体"/>
          <w:szCs w:val="21"/>
        </w:rPr>
        <w:t>3.1</w:t>
      </w:r>
    </w:p>
    <w:p>
      <w:pPr>
        <w:spacing w:line="360" w:lineRule="auto"/>
        <w:ind w:firstLine="420" w:firstLineChars="200"/>
        <w:rPr>
          <w:rFonts w:ascii="黑体" w:hAnsi="黑体" w:eastAsia="黑体" w:cs="黑体"/>
          <w:szCs w:val="21"/>
        </w:rPr>
      </w:pPr>
      <w:r>
        <w:rPr>
          <w:rFonts w:hint="eastAsia" w:ascii="黑体" w:hAnsi="黑体" w:eastAsia="黑体" w:cs="黑体"/>
          <w:szCs w:val="21"/>
        </w:rPr>
        <w:t>通航净空尺度 dimensions of navigation clearance</w:t>
      </w:r>
    </w:p>
    <w:p>
      <w:pPr>
        <w:spacing w:line="360" w:lineRule="auto"/>
        <w:ind w:firstLine="420" w:firstLineChars="200"/>
        <w:rPr>
          <w:rFonts w:ascii="宋体" w:hAnsi="宋体" w:eastAsia="宋体" w:cs="宋体"/>
          <w:szCs w:val="21"/>
        </w:rPr>
      </w:pPr>
      <w:r>
        <w:rPr>
          <w:rFonts w:hint="eastAsia" w:ascii="宋体" w:hAnsi="宋体" w:eastAsia="宋体" w:cs="宋体"/>
          <w:szCs w:val="21"/>
        </w:rPr>
        <w:t>架空缆线通航净高和净宽尺度的总称。</w:t>
      </w:r>
    </w:p>
    <w:p>
      <w:pPr>
        <w:pStyle w:val="3"/>
        <w:spacing w:before="312" w:beforeLines="100" w:after="312" w:afterLines="100" w:line="240" w:lineRule="auto"/>
        <w:jc w:val="left"/>
        <w:rPr>
          <w:rFonts w:ascii="黑体" w:hAnsi="黑体" w:eastAsia="黑体" w:cs="黑体"/>
          <w:sz w:val="21"/>
          <w:szCs w:val="21"/>
          <w:lang w:eastAsia="zh-Hans"/>
        </w:rPr>
      </w:pPr>
      <w:bookmarkStart w:id="49" w:name="_Toc15846"/>
      <w:bookmarkStart w:id="50" w:name="_Toc8586"/>
      <w:r>
        <w:rPr>
          <w:rFonts w:ascii="黑体" w:hAnsi="黑体" w:eastAsia="黑体" w:cs="黑体"/>
          <w:sz w:val="21"/>
          <w:szCs w:val="21"/>
        </w:rPr>
        <w:t xml:space="preserve">4 </w:t>
      </w:r>
      <w:r>
        <w:rPr>
          <w:rFonts w:ascii="黑体" w:hAnsi="黑体" w:eastAsia="黑体" w:cs="黑体"/>
          <w:sz w:val="21"/>
          <w:szCs w:val="21"/>
          <w:lang w:eastAsia="zh-Hans"/>
        </w:rPr>
        <w:t>总则</w:t>
      </w:r>
      <w:bookmarkEnd w:id="49"/>
      <w:bookmarkEnd w:id="50"/>
    </w:p>
    <w:p>
      <w:pPr>
        <w:numPr>
          <w:ilvl w:val="255"/>
          <w:numId w:val="0"/>
        </w:numPr>
        <w:spacing w:line="360" w:lineRule="auto"/>
        <w:rPr>
          <w:rFonts w:ascii="宋体" w:hAnsi="宋体"/>
          <w:szCs w:val="21"/>
        </w:rPr>
      </w:pPr>
      <w:r>
        <w:rPr>
          <w:rFonts w:hint="eastAsia" w:ascii="黑体" w:hAnsi="黑体" w:eastAsia="黑体" w:cs="黑体"/>
          <w:szCs w:val="21"/>
        </w:rPr>
        <w:t xml:space="preserve">4.1 </w:t>
      </w:r>
      <w:r>
        <w:rPr>
          <w:rFonts w:hint="eastAsia" w:ascii="宋体" w:hAnsi="宋体"/>
          <w:szCs w:val="21"/>
        </w:rPr>
        <w:t>内河航道新建、扩建和改建架空缆线的规划、设计和航道通航条件影响评价，除应符合本标准规定外，尚应符合国家现行有关标准的规定。</w:t>
      </w:r>
    </w:p>
    <w:p>
      <w:pPr>
        <w:numPr>
          <w:ilvl w:val="255"/>
          <w:numId w:val="0"/>
        </w:numPr>
        <w:spacing w:line="360" w:lineRule="auto"/>
        <w:rPr>
          <w:rFonts w:ascii="Times New Roman" w:hAnsi="Times New Roman" w:eastAsia="宋体" w:cs="Times New Roman"/>
          <w:szCs w:val="21"/>
        </w:rPr>
      </w:pPr>
      <w:r>
        <w:rPr>
          <w:rFonts w:hint="eastAsia" w:ascii="黑体" w:hAnsi="黑体" w:eastAsia="黑体" w:cs="黑体"/>
          <w:szCs w:val="21"/>
        </w:rPr>
        <w:t>4.2 架空</w:t>
      </w:r>
      <w:r>
        <w:rPr>
          <w:rFonts w:ascii="Times New Roman" w:hAnsi="Times New Roman" w:eastAsia="宋体" w:cs="Times New Roman"/>
          <w:szCs w:val="21"/>
        </w:rPr>
        <w:t>缆线跨越通航海轮或</w:t>
      </w:r>
      <w:r>
        <w:rPr>
          <w:rFonts w:hint="eastAsia" w:ascii="Times New Roman" w:hAnsi="Times New Roman" w:eastAsia="宋体" w:cs="Times New Roman"/>
          <w:szCs w:val="21"/>
        </w:rPr>
        <w:t>内河</w:t>
      </w:r>
      <w:r>
        <w:rPr>
          <w:rFonts w:ascii="Times New Roman" w:hAnsi="Times New Roman" w:eastAsia="宋体" w:cs="Times New Roman"/>
          <w:szCs w:val="21"/>
        </w:rPr>
        <w:t>3000吨级以上船舶的河段时，应根据通航船型、通航船舶密度、航道自然条件和通航安全要求等因素论证</w:t>
      </w:r>
      <w:r>
        <w:rPr>
          <w:rFonts w:hint="eastAsia" w:ascii="Times New Roman" w:hAnsi="Times New Roman" w:eastAsia="宋体" w:cs="Times New Roman"/>
          <w:szCs w:val="21"/>
        </w:rPr>
        <w:t>通航净高，且应不低于第5.1条规定的数值</w:t>
      </w:r>
      <w:r>
        <w:rPr>
          <w:rFonts w:ascii="Times New Roman" w:hAnsi="Times New Roman" w:eastAsia="宋体" w:cs="Times New Roman"/>
          <w:szCs w:val="21"/>
        </w:rPr>
        <w:t>。</w:t>
      </w:r>
    </w:p>
    <w:p>
      <w:pPr>
        <w:pStyle w:val="2"/>
        <w:ind w:left="0" w:leftChars="0"/>
      </w:pPr>
    </w:p>
    <w:bookmarkEnd w:id="38"/>
    <w:bookmarkEnd w:id="39"/>
    <w:bookmarkEnd w:id="40"/>
    <w:bookmarkEnd w:id="41"/>
    <w:bookmarkEnd w:id="42"/>
    <w:p>
      <w:pPr>
        <w:pStyle w:val="3"/>
        <w:spacing w:before="156" w:after="156" w:afterLines="50"/>
        <w:rPr>
          <w:rFonts w:ascii="黑体" w:hAnsi="黑体" w:eastAsia="黑体" w:cs="黑体"/>
          <w:sz w:val="21"/>
          <w:szCs w:val="21"/>
        </w:rPr>
      </w:pPr>
      <w:bookmarkStart w:id="51" w:name="_Toc1859895743"/>
      <w:bookmarkStart w:id="52" w:name="_Toc34818781"/>
      <w:bookmarkStart w:id="53" w:name="_Toc3557"/>
      <w:bookmarkStart w:id="54" w:name="_Toc2086031951"/>
      <w:bookmarkStart w:id="55" w:name="_Toc22618"/>
      <w:bookmarkStart w:id="56" w:name="_Toc30622"/>
      <w:bookmarkStart w:id="57" w:name="_Toc31639894"/>
      <w:bookmarkStart w:id="58" w:name="_Toc17702"/>
      <w:bookmarkStart w:id="59" w:name="_Toc25060"/>
      <w:bookmarkStart w:id="60" w:name="_Toc20009"/>
      <w:bookmarkStart w:id="61" w:name="_Toc19378"/>
      <w:r>
        <w:rPr>
          <w:rFonts w:hint="eastAsia" w:ascii="黑体" w:hAnsi="黑体" w:eastAsia="黑体" w:cs="黑体"/>
          <w:sz w:val="21"/>
          <w:szCs w:val="21"/>
        </w:rPr>
        <w:t>5</w:t>
      </w:r>
      <w:r>
        <w:rPr>
          <w:rFonts w:ascii="黑体" w:hAnsi="黑体" w:eastAsia="黑体" w:cs="黑体"/>
          <w:sz w:val="21"/>
          <w:szCs w:val="21"/>
        </w:rPr>
        <w:t xml:space="preserve"> </w:t>
      </w:r>
      <w:r>
        <w:rPr>
          <w:rFonts w:hint="eastAsia" w:ascii="黑体" w:hAnsi="黑体" w:eastAsia="黑体" w:cs="黑体"/>
          <w:sz w:val="21"/>
          <w:szCs w:val="21"/>
        </w:rPr>
        <w:t>架空缆线通航净空尺度</w:t>
      </w:r>
      <w:bookmarkEnd w:id="51"/>
      <w:bookmarkEnd w:id="52"/>
      <w:bookmarkEnd w:id="53"/>
      <w:bookmarkEnd w:id="54"/>
      <w:bookmarkEnd w:id="55"/>
      <w:bookmarkEnd w:id="56"/>
      <w:bookmarkEnd w:id="57"/>
      <w:bookmarkEnd w:id="58"/>
      <w:bookmarkEnd w:id="59"/>
      <w:bookmarkEnd w:id="60"/>
      <w:bookmarkEnd w:id="61"/>
    </w:p>
    <w:p>
      <w:pPr>
        <w:spacing w:line="360" w:lineRule="auto"/>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 xml:space="preserve">.1  </w:t>
      </w:r>
      <w:r>
        <w:rPr>
          <w:rFonts w:hint="eastAsia" w:ascii="黑体" w:hAnsi="黑体" w:eastAsia="黑体" w:cs="黑体"/>
          <w:szCs w:val="21"/>
        </w:rPr>
        <w:t>通航净高</w:t>
      </w:r>
    </w:p>
    <w:p>
      <w:pPr>
        <w:spacing w:line="360" w:lineRule="auto"/>
        <w:rPr>
          <w:szCs w:val="21"/>
        </w:rPr>
      </w:pPr>
      <w:r>
        <w:rPr>
          <w:rFonts w:hint="eastAsia" w:ascii="黑体" w:hAnsi="黑体" w:eastAsia="黑体" w:cs="黑体"/>
          <w:kern w:val="0"/>
          <w:szCs w:val="21"/>
        </w:rPr>
        <w:t>5</w:t>
      </w:r>
      <w:r>
        <w:rPr>
          <w:rFonts w:ascii="黑体" w:hAnsi="黑体" w:eastAsia="黑体" w:cs="黑体"/>
          <w:kern w:val="0"/>
          <w:szCs w:val="21"/>
        </w:rPr>
        <w:t>.1.1</w:t>
      </w:r>
      <w:r>
        <w:rPr>
          <w:rFonts w:hint="eastAsia" w:hAnsi="宋体"/>
          <w:kern w:val="0"/>
          <w:szCs w:val="21"/>
        </w:rPr>
        <w:t xml:space="preserve"> </w:t>
      </w:r>
      <w:r>
        <w:rPr>
          <w:rFonts w:hint="eastAsia"/>
          <w:szCs w:val="21"/>
        </w:rPr>
        <w:t>电力、通信、水文测验和其他水上过河缆线的通航净高，应按通航水域宽度范围缆线夏季垂弧最低点至设计最高通航水位的距离计算，其净高值不应小于最大船舶空载高度、船舶航行安全富裕高度与缆线安全富裕高度之和。</w:t>
      </w:r>
      <w:r>
        <w:rPr>
          <w:rFonts w:ascii="Times New Roman" w:hAnsi="Times New Roman" w:cs="Times New Roman"/>
          <w:szCs w:val="21"/>
        </w:rPr>
        <w:t>内河航道架空缆线跨越内河航道的通航净高（H）应按下式计算</w:t>
      </w:r>
      <w:r>
        <w:rPr>
          <w:rFonts w:hint="eastAsia" w:ascii="宋体" w:hAnsi="宋体"/>
          <w:szCs w:val="21"/>
        </w:rPr>
        <w:t>：</w:t>
      </w:r>
    </w:p>
    <w:p>
      <w:pPr>
        <w:spacing w:line="360" w:lineRule="auto"/>
        <w:ind w:firstLine="420" w:firstLineChars="200"/>
        <w:rPr>
          <w:rFonts w:ascii="宋体" w:hAnsi="宋体"/>
          <w:szCs w:val="21"/>
        </w:rPr>
      </w:pPr>
      <m:oMathPara>
        <m:oMath>
          <m:r>
            <m:rPr>
              <m:sty m:val="p"/>
            </m:rPr>
            <w:rPr>
              <w:rFonts w:hint="eastAsia" w:ascii="Cambria Math" w:hAnsi="Cambria Math"/>
              <w:szCs w:val="21"/>
            </w:rPr>
            <m:t>H≥</m:t>
          </m:r>
          <m:sSub>
            <m:sSubPr>
              <m:ctrlPr>
                <w:rPr>
                  <w:rFonts w:ascii="Cambria Math" w:hAnsi="Cambria Math"/>
                  <w:szCs w:val="21"/>
                </w:rPr>
              </m:ctrlPr>
            </m:sSubPr>
            <m:e>
              <m:r>
                <m:rPr>
                  <m:sty m:val="p"/>
                </m:rPr>
                <w:rPr>
                  <w:rFonts w:ascii="Cambria Math" w:hAnsi="Cambria Math"/>
                  <w:szCs w:val="21"/>
                </w:rPr>
                <m:t>H</m:t>
              </m:r>
              <m:ctrlPr>
                <w:rPr>
                  <w:rFonts w:ascii="Cambria Math" w:hAnsi="Cambria Math"/>
                  <w:szCs w:val="21"/>
                </w:rPr>
              </m:ctrlPr>
            </m:e>
            <m:sub>
              <m:r>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H</m:t>
              </m:r>
              <m:ctrlPr>
                <w:rPr>
                  <w:rFonts w:ascii="Cambria Math" w:hAnsi="Cambria Math"/>
                  <w:szCs w:val="21"/>
                </w:rPr>
              </m:ctrlPr>
            </m:e>
            <m:sub>
              <m:r>
                <m:rPr/>
                <w:rPr>
                  <w:rFonts w:ascii="Cambria Math" w:hAnsi="Cambria Math"/>
                  <w:szCs w:val="21"/>
                </w:rPr>
                <m:t>2</m:t>
              </m:r>
              <m:ctrlPr>
                <w:rPr>
                  <w:rFonts w:ascii="Cambria Math" w:hAnsi="Cambria Math"/>
                  <w:szCs w:val="21"/>
                </w:rPr>
              </m:ctrlPr>
            </m:sub>
          </m:sSub>
          <m:r>
            <m:rPr>
              <m:sty m:val="p"/>
            </m:rPr>
            <w:rPr>
              <w:rFonts w:ascii="DejaVu Math TeX Gyre" w:hAnsi="DejaVu Math TeX Gyre"/>
              <w:szCs w:val="21"/>
            </w:rPr>
            <m:t>+</m:t>
          </m:r>
          <m:sSub>
            <m:sSubPr>
              <m:ctrlPr>
                <w:rPr>
                  <w:rFonts w:ascii="Cambria Math" w:hAnsi="Cambria Math"/>
                  <w:szCs w:val="21"/>
                </w:rPr>
              </m:ctrlPr>
            </m:sSubPr>
            <m:e>
              <m:r>
                <m:rPr>
                  <m:sty m:val="p"/>
                </m:rPr>
                <w:rPr>
                  <w:rFonts w:ascii="Cambria Math" w:hAnsi="Cambria Math"/>
                  <w:szCs w:val="21"/>
                </w:rPr>
                <m:t>H</m:t>
              </m:r>
              <m:ctrlPr>
                <w:rPr>
                  <w:rFonts w:ascii="Cambria Math" w:hAnsi="Cambria Math"/>
                  <w:szCs w:val="21"/>
                </w:rPr>
              </m:ctrlPr>
            </m:e>
            <m:sub>
              <m:r>
                <m:rPr/>
                <w:rPr>
                  <w:rFonts w:ascii="Cambria Math" w:hAnsi="Cambria Math"/>
                  <w:szCs w:val="21"/>
                </w:rPr>
                <m:t>3</m:t>
              </m:r>
              <m:ctrlPr>
                <w:rPr>
                  <w:rFonts w:ascii="Cambria Math" w:hAnsi="Cambria Math"/>
                  <w:szCs w:val="21"/>
                </w:rPr>
              </m:ctrlPr>
            </m:sub>
          </m:sSub>
        </m:oMath>
      </m:oMathPara>
    </w:p>
    <w:p>
      <w:pPr>
        <w:spacing w:line="360" w:lineRule="auto"/>
        <w:ind w:firstLine="420" w:firstLineChars="200"/>
        <w:rPr>
          <w:rFonts w:hAnsi="Cambria Math"/>
          <w:szCs w:val="21"/>
        </w:rPr>
      </w:pPr>
      <w:r>
        <w:rPr>
          <w:rFonts w:hint="eastAsia" w:hAnsi="Cambria Math"/>
          <w:szCs w:val="21"/>
        </w:rPr>
        <w:t>式中：</w:t>
      </w:r>
    </w:p>
    <w:p>
      <w:pPr>
        <w:spacing w:line="360" w:lineRule="auto"/>
        <w:ind w:firstLine="420" w:firstLineChars="200"/>
        <w:rPr>
          <w:rFonts w:ascii="Times New Roman" w:hAnsi="Times New Roman" w:cs="Times New Roman"/>
          <w:szCs w:val="21"/>
        </w:rPr>
      </w:pPr>
      <m:oMath>
        <m:r>
          <m:rPr>
            <m:sty m:val="p"/>
          </m:rPr>
          <w:rPr>
            <w:rFonts w:ascii="Cambria Math" w:hAnsi="Cambria Math" w:cs="Times New Roman"/>
            <w:szCs w:val="21"/>
          </w:rPr>
          <m:t>H</m:t>
        </m:r>
      </m:oMath>
      <w:r>
        <w:rPr>
          <w:rFonts w:ascii="Times New Roman" w:hAnsi="Times New Roman" w:cs="Times New Roman"/>
          <w:szCs w:val="21"/>
        </w:rPr>
        <w:t>—缆线最大计算垂弧最低点至设计最高通航水位的垂直距离（m）</w:t>
      </w:r>
    </w:p>
    <w:p>
      <w:pPr>
        <w:spacing w:line="360" w:lineRule="auto"/>
        <w:ind w:firstLine="420" w:firstLineChars="20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H</m:t>
            </m:r>
            <m:ctrlPr>
              <w:rPr>
                <w:rFonts w:ascii="Cambria Math" w:hAnsi="Cambria Math" w:cs="Times New Roman"/>
                <w:szCs w:val="21"/>
              </w:rPr>
            </m:ctrlPr>
          </m:e>
          <m:sub>
            <m:r>
              <m:rPr/>
              <w:rPr>
                <w:rFonts w:ascii="Cambria Math" w:hAnsi="Cambria Math" w:cs="Times New Roman"/>
                <w:szCs w:val="21"/>
              </w:rPr>
              <m:t>1</m:t>
            </m:r>
            <m:ctrlPr>
              <w:rPr>
                <w:rFonts w:ascii="Cambria Math" w:hAnsi="Cambria Math" w:cs="Times New Roman"/>
                <w:szCs w:val="21"/>
              </w:rPr>
            </m:ctrlPr>
          </m:sub>
        </m:sSub>
      </m:oMath>
      <w:r>
        <w:rPr>
          <w:rFonts w:ascii="Times New Roman" w:hAnsi="Times New Roman" w:cs="Times New Roman"/>
          <w:szCs w:val="21"/>
        </w:rPr>
        <w:t>—最大船舶空载高度（m）</w:t>
      </w:r>
    </w:p>
    <w:p>
      <w:pPr>
        <w:spacing w:line="360" w:lineRule="auto"/>
        <w:ind w:firstLine="420" w:firstLineChars="20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H</m:t>
            </m:r>
            <m:ctrlPr>
              <w:rPr>
                <w:rFonts w:ascii="Cambria Math" w:hAnsi="Cambria Math" w:cs="Times New Roman"/>
                <w:szCs w:val="21"/>
              </w:rPr>
            </m:ctrlPr>
          </m:e>
          <m:sub>
            <m:r>
              <m:rPr/>
              <w:rPr>
                <w:rFonts w:ascii="Cambria Math" w:hAnsi="Cambria Math" w:cs="Times New Roman"/>
                <w:szCs w:val="21"/>
              </w:rPr>
              <m:t>2</m:t>
            </m:r>
            <m:ctrlPr>
              <w:rPr>
                <w:rFonts w:ascii="Cambria Math" w:hAnsi="Cambria Math" w:cs="Times New Roman"/>
                <w:szCs w:val="21"/>
              </w:rPr>
            </m:ctrlPr>
          </m:sub>
        </m:sSub>
      </m:oMath>
      <w:r>
        <w:rPr>
          <w:rFonts w:ascii="Times New Roman" w:hAnsi="Times New Roman" w:cs="Times New Roman"/>
          <w:szCs w:val="21"/>
        </w:rPr>
        <w:t>—船舶航行安全富裕 高度（m</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H</m:t>
            </m:r>
            <m:ctrlPr>
              <w:rPr>
                <w:rFonts w:ascii="Cambria Math" w:hAnsi="Cambria Math" w:cs="Times New Roman"/>
                <w:szCs w:val="21"/>
              </w:rPr>
            </m:ctrlPr>
          </m:e>
          <m:sub>
            <m:r>
              <m:rPr/>
              <w:rPr>
                <w:rFonts w:ascii="Cambria Math" w:hAnsi="Cambria Math" w:cs="Times New Roman"/>
                <w:szCs w:val="21"/>
              </w:rPr>
              <m:t>3</m:t>
            </m:r>
            <m:ctrlPr>
              <w:rPr>
                <w:rFonts w:ascii="Cambria Math" w:hAnsi="Cambria Math" w:cs="Times New Roman"/>
                <w:szCs w:val="21"/>
              </w:rPr>
            </m:ctrlPr>
          </m:sub>
        </m:sSub>
      </m:oMath>
      <w:r>
        <w:rPr>
          <w:rFonts w:ascii="Times New Roman" w:hAnsi="Times New Roman" w:cs="Times New Roman"/>
          <w:szCs w:val="21"/>
        </w:rPr>
        <w:t>—缆线安全富裕高度（m）</w:t>
      </w:r>
    </w:p>
    <w:p>
      <w:pPr>
        <w:spacing w:line="360" w:lineRule="auto"/>
        <w:rPr>
          <w:rFonts w:ascii="宋体" w:hAnsi="宋体" w:eastAsia="宋体" w:cs="宋体"/>
          <w:szCs w:val="21"/>
        </w:rPr>
      </w:pPr>
      <w:r>
        <w:rPr>
          <w:rFonts w:hint="eastAsia" w:ascii="黑体" w:hAnsi="黑体" w:eastAsia="黑体" w:cs="黑体"/>
          <w:kern w:val="0"/>
          <w:szCs w:val="21"/>
        </w:rPr>
        <w:t>5</w:t>
      </w:r>
      <w:r>
        <w:rPr>
          <w:rFonts w:ascii="黑体" w:hAnsi="黑体" w:eastAsia="黑体" w:cs="黑体"/>
          <w:kern w:val="0"/>
          <w:szCs w:val="21"/>
        </w:rPr>
        <w:t>.1.2</w:t>
      </w:r>
      <w:r>
        <w:rPr>
          <w:rFonts w:ascii="Times New Roman" w:hAnsi="Times New Roman" w:eastAsia="宋体" w:cs="Times New Roman"/>
          <w:szCs w:val="21"/>
        </w:rPr>
        <w:t>最大船舶空载高度和船舶航行安全富裕高度之和按表1取值。</w:t>
      </w:r>
    </w:p>
    <w:p>
      <w:pPr>
        <w:spacing w:line="360" w:lineRule="auto"/>
        <w:jc w:val="center"/>
        <w:rPr>
          <w:rFonts w:ascii="黑体" w:hAnsi="黑体" w:eastAsia="黑体" w:cs="黑体"/>
          <w:kern w:val="0"/>
          <w:szCs w:val="21"/>
        </w:rPr>
      </w:pPr>
      <w:r>
        <w:rPr>
          <w:rFonts w:hint="eastAsia" w:ascii="黑体" w:hAnsi="黑体" w:eastAsia="黑体" w:cs="黑体"/>
          <w:kern w:val="0"/>
          <w:szCs w:val="21"/>
        </w:rPr>
        <w:t>表</w:t>
      </w:r>
      <w:r>
        <w:rPr>
          <w:rFonts w:ascii="黑体" w:hAnsi="黑体" w:eastAsia="黑体" w:cs="黑体"/>
          <w:kern w:val="0"/>
          <w:szCs w:val="21"/>
        </w:rPr>
        <w:t xml:space="preserve">1   </w:t>
      </w:r>
      <m:oMath>
        <m:sSub>
          <m:sSubPr>
            <m:ctrlPr>
              <w:rPr>
                <w:rFonts w:hint="eastAsia" w:ascii="Cambria Math" w:hAnsi="Cambria Math" w:eastAsia="黑体" w:cs="黑体"/>
                <w:kern w:val="0"/>
                <w:szCs w:val="21"/>
              </w:rPr>
            </m:ctrlPr>
          </m:sSubPr>
          <m:e>
            <m:r>
              <m:rPr>
                <m:sty m:val="p"/>
              </m:rPr>
              <w:rPr>
                <w:rFonts w:ascii="Cambria Math" w:hAnsi="Cambria Math" w:eastAsia="黑体" w:cs="黑体"/>
                <w:kern w:val="0"/>
                <w:szCs w:val="21"/>
              </w:rPr>
              <m:t>H</m:t>
            </m:r>
            <m:ctrlPr>
              <w:rPr>
                <w:rFonts w:hint="eastAsia" w:ascii="Cambria Math" w:hAnsi="Cambria Math" w:eastAsia="黑体" w:cs="黑体"/>
                <w:kern w:val="0"/>
                <w:szCs w:val="21"/>
              </w:rPr>
            </m:ctrlPr>
          </m:e>
          <m:sub>
            <m:r>
              <m:rPr>
                <m:sty m:val="p"/>
              </m:rPr>
              <w:rPr>
                <w:rFonts w:ascii="Cambria Math" w:hAnsi="Cambria Math" w:eastAsia="黑体" w:cs="黑体"/>
                <w:kern w:val="0"/>
                <w:szCs w:val="21"/>
              </w:rPr>
              <m:t>1</m:t>
            </m:r>
            <m:ctrlPr>
              <w:rPr>
                <w:rFonts w:hint="eastAsia" w:ascii="Cambria Math" w:hAnsi="Cambria Math" w:eastAsia="黑体" w:cs="黑体"/>
                <w:kern w:val="0"/>
                <w:szCs w:val="21"/>
              </w:rPr>
            </m:ctrlPr>
          </m:sub>
        </m:sSub>
      </m:oMath>
      <w:r>
        <w:rPr>
          <w:rFonts w:ascii="黑体" w:hAnsi="黑体" w:eastAsia="黑体" w:cs="黑体"/>
          <w:kern w:val="0"/>
          <w:szCs w:val="21"/>
        </w:rPr>
        <w:t>+</w:t>
      </w:r>
      <m:oMath>
        <m:sSub>
          <m:sSubPr>
            <m:ctrlPr>
              <w:rPr>
                <w:rFonts w:hint="eastAsia" w:ascii="Cambria Math" w:hAnsi="Cambria Math" w:eastAsia="黑体" w:cs="黑体"/>
                <w:kern w:val="0"/>
                <w:szCs w:val="21"/>
              </w:rPr>
            </m:ctrlPr>
          </m:sSubPr>
          <m:e>
            <m:r>
              <m:rPr>
                <m:sty m:val="p"/>
              </m:rPr>
              <w:rPr>
                <w:rFonts w:ascii="Cambria Math" w:hAnsi="Cambria Math" w:eastAsia="黑体" w:cs="黑体"/>
                <w:kern w:val="0"/>
                <w:szCs w:val="21"/>
              </w:rPr>
              <m:t>H</m:t>
            </m:r>
            <m:ctrlPr>
              <w:rPr>
                <w:rFonts w:hint="eastAsia" w:ascii="Cambria Math" w:hAnsi="Cambria Math" w:eastAsia="黑体" w:cs="黑体"/>
                <w:kern w:val="0"/>
                <w:szCs w:val="21"/>
              </w:rPr>
            </m:ctrlPr>
          </m:e>
          <m:sub>
            <m:r>
              <m:rPr>
                <m:sty m:val="p"/>
              </m:rPr>
              <w:rPr>
                <w:rFonts w:ascii="Cambria Math" w:hAnsi="Cambria Math" w:eastAsia="黑体" w:cs="黑体"/>
                <w:kern w:val="0"/>
                <w:szCs w:val="21"/>
              </w:rPr>
              <m:t>2</m:t>
            </m:r>
            <m:ctrlPr>
              <w:rPr>
                <w:rFonts w:hint="eastAsia" w:ascii="Cambria Math" w:hAnsi="Cambria Math" w:eastAsia="黑体" w:cs="黑体"/>
                <w:kern w:val="0"/>
                <w:szCs w:val="21"/>
              </w:rPr>
            </m:ctrlPr>
          </m:sub>
        </m:sSub>
      </m:oMath>
      <w:r>
        <w:rPr>
          <w:rFonts w:hint="eastAsia" w:ascii="黑体" w:hAnsi="黑体" w:eastAsia="黑体" w:cs="黑体"/>
          <w:kern w:val="0"/>
          <w:szCs w:val="21"/>
        </w:rPr>
        <w:t>的取值</w:t>
      </w:r>
    </w:p>
    <w:tbl>
      <w:tblPr>
        <w:tblStyle w:val="12"/>
        <w:tblW w:w="58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00"/>
        <w:gridCol w:w="2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航道等级</w:t>
            </w:r>
          </w:p>
        </w:tc>
        <w:tc>
          <w:tcPr>
            <w:tcW w:w="2900" w:type="dxa"/>
            <w:shd w:val="clear" w:color="auto" w:fill="auto"/>
            <w:vAlign w:val="center"/>
          </w:tcPr>
          <w:p>
            <w:pPr>
              <w:jc w:val="center"/>
              <w:rPr>
                <w:rFonts w:ascii="Times New Roman" w:hAnsi="Times New Roman" w:cs="Times New Roman"/>
                <w:sz w:val="18"/>
                <w:szCs w:val="18"/>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H</m:t>
                  </m:r>
                  <m:ctrlPr>
                    <w:rPr>
                      <w:rFonts w:ascii="Cambria Math" w:hAnsi="Cambria Math" w:cs="Times New Roman"/>
                      <w:sz w:val="18"/>
                      <w:szCs w:val="18"/>
                    </w:rPr>
                  </m:ctrlPr>
                </m:e>
                <m:sub>
                  <m:r>
                    <m:rPr>
                      <m:sty m:val="p"/>
                    </m:rPr>
                    <w:rPr>
                      <w:rFonts w:ascii="Cambria Math" w:hAnsi="Cambria Math" w:cs="Times New Roman"/>
                      <w:sz w:val="18"/>
                      <w:szCs w:val="18"/>
                    </w:rPr>
                    <m:t>1</m:t>
                  </m:r>
                  <m:ctrlPr>
                    <w:rPr>
                      <w:rFonts w:ascii="Cambria Math" w:hAnsi="Cambria Math" w:cs="Times New Roman"/>
                      <w:sz w:val="18"/>
                      <w:szCs w:val="18"/>
                    </w:rPr>
                  </m:ctrlPr>
                </m:sub>
              </m:sSub>
            </m:oMath>
            <w:r>
              <w:rPr>
                <w:rFonts w:ascii="Times New Roman" w:hAnsi="Times New Roman" w:cs="Times New Roman"/>
                <w:sz w:val="18"/>
                <w:szCs w:val="18"/>
              </w:rPr>
              <w:t>+</w:t>
            </w:r>
            <m:oMath>
              <m:sSub>
                <m:sSubPr>
                  <m:ctrlPr>
                    <w:rPr>
                      <w:rFonts w:ascii="Cambria Math" w:hAnsi="Cambria Math" w:cs="Times New Roman"/>
                      <w:sz w:val="18"/>
                      <w:szCs w:val="18"/>
                    </w:rPr>
                  </m:ctrlPr>
                </m:sSubPr>
                <m:e>
                  <m:r>
                    <m:rPr>
                      <m:sty m:val="p"/>
                    </m:rPr>
                    <w:rPr>
                      <w:rFonts w:ascii="Cambria Math" w:hAnsi="Cambria Math" w:cs="Times New Roman"/>
                      <w:sz w:val="18"/>
                      <w:szCs w:val="18"/>
                    </w:rPr>
                    <m:t>H</m:t>
                  </m:r>
                  <m:ctrlPr>
                    <w:rPr>
                      <w:rFonts w:ascii="Cambria Math" w:hAnsi="Cambria Math" w:cs="Times New Roman"/>
                      <w:sz w:val="18"/>
                      <w:szCs w:val="18"/>
                    </w:rPr>
                  </m:ctrlPr>
                </m:e>
                <m:sub>
                  <m:r>
                    <m:rPr>
                      <m:sty m:val="p"/>
                    </m:rPr>
                    <w:rPr>
                      <w:rFonts w:ascii="Cambria Math" w:hAnsi="Cambria Math" w:cs="Times New Roman"/>
                      <w:sz w:val="18"/>
                      <w:szCs w:val="18"/>
                    </w:rPr>
                    <m:t>2</m:t>
                  </m:r>
                  <m:ctrlPr>
                    <w:rPr>
                      <w:rFonts w:ascii="Cambria Math" w:hAnsi="Cambria Math" w:cs="Times New Roman"/>
                      <w:sz w:val="18"/>
                      <w:szCs w:val="18"/>
                    </w:rPr>
                  </m:ctrlPr>
                </m:sub>
              </m:sSub>
            </m:oMath>
            <w:r>
              <w:rPr>
                <w:rFonts w:ascii="Times New Roman" w:hAnsi="Times New Roman" w:cs="Times New Roman"/>
                <w:sz w:val="18"/>
                <w:szCs w:val="18"/>
              </w:rPr>
              <w:t>的取值（m）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内河Ⅰ级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内河Ⅱ级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内河Ⅲ级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内河Ⅳ级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内河Ⅴ级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内河</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6 \* ROMAN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90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内河</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7 \* ROMAN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VII</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级</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等外级航道</w:t>
            </w:r>
          </w:p>
        </w:tc>
        <w:tc>
          <w:tcPr>
            <w:tcW w:w="290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r>
    </w:tbl>
    <w:p>
      <w:pPr>
        <w:rPr>
          <w:rFonts w:ascii="黑体" w:hAnsi="黑体" w:eastAsia="黑体" w:cs="黑体"/>
          <w:kern w:val="0"/>
          <w:szCs w:val="21"/>
        </w:rPr>
      </w:pPr>
    </w:p>
    <w:p>
      <w:pPr>
        <w:spacing w:line="360" w:lineRule="auto"/>
        <w:rPr>
          <w:rFonts w:ascii="黑体" w:hAnsi="黑体" w:eastAsia="黑体" w:cs="黑体"/>
          <w:b/>
          <w:szCs w:val="21"/>
        </w:rPr>
      </w:pPr>
      <w:r>
        <w:rPr>
          <w:rFonts w:hint="eastAsia" w:ascii="黑体" w:hAnsi="黑体" w:eastAsia="黑体" w:cs="黑体"/>
          <w:kern w:val="0"/>
          <w:szCs w:val="21"/>
        </w:rPr>
        <w:t>5</w:t>
      </w:r>
      <w:r>
        <w:rPr>
          <w:rFonts w:ascii="黑体" w:hAnsi="黑体" w:eastAsia="黑体" w:cs="黑体"/>
          <w:kern w:val="0"/>
          <w:szCs w:val="21"/>
        </w:rPr>
        <w:t>.1.3</w:t>
      </w:r>
      <w:r>
        <w:rPr>
          <w:rFonts w:hint="eastAsia" w:ascii="黑体" w:hAnsi="黑体" w:eastAsia="黑体" w:cs="黑体"/>
          <w:b/>
          <w:szCs w:val="21"/>
        </w:rPr>
        <w:t xml:space="preserve"> </w:t>
      </w:r>
      <w:r>
        <w:rPr>
          <w:szCs w:val="21"/>
        </w:rPr>
        <w:t>架空</w:t>
      </w:r>
      <w:r>
        <w:rPr>
          <w:rFonts w:hint="eastAsia"/>
          <w:szCs w:val="21"/>
        </w:rPr>
        <w:t>缆线跨越通航海轮或内河3000吨级以上船舶河段时，</w:t>
      </w:r>
      <w:r>
        <w:rPr>
          <w:rFonts w:ascii="Times New Roman" w:hAnsi="Times New Roman" w:cs="Times New Roman"/>
          <w:szCs w:val="21"/>
        </w:rPr>
        <w:t>最大船舶空载高度（</w:t>
      </w:r>
      <m:oMath>
        <m:sSub>
          <m:sSubPr>
            <m:ctrlPr>
              <w:rPr>
                <w:rFonts w:hint="eastAsia" w:ascii="Cambria Math" w:hAnsi="Cambria Math"/>
                <w:szCs w:val="21"/>
              </w:rPr>
            </m:ctrlPr>
          </m:sSubPr>
          <m:e>
            <m:r>
              <m:rPr>
                <m:sty m:val="p"/>
              </m:rPr>
              <w:rPr>
                <w:rFonts w:hint="eastAsia" w:ascii="Cambria Math" w:hAnsi="Cambria Math"/>
                <w:szCs w:val="21"/>
              </w:rPr>
              <m:t>H</m:t>
            </m:r>
            <m:ctrlPr>
              <w:rPr>
                <w:rFonts w:hint="eastAsia" w:ascii="Cambria Math" w:hAnsi="Cambria Math"/>
                <w:szCs w:val="21"/>
              </w:rPr>
            </m:ctrlPr>
          </m:e>
          <m:sub>
            <m:r>
              <m:rPr>
                <m:sty m:val="p"/>
              </m:rPr>
              <w:rPr>
                <w:rFonts w:hint="eastAsia" w:ascii="Cambria Math" w:hAnsi="Cambria Math"/>
                <w:szCs w:val="21"/>
              </w:rPr>
              <m:t>1</m:t>
            </m:r>
            <m:ctrlPr>
              <w:rPr>
                <w:rFonts w:hint="eastAsia" w:ascii="Cambria Math" w:hAnsi="Cambria Math"/>
                <w:szCs w:val="21"/>
              </w:rPr>
            </m:ctrlPr>
          </m:sub>
        </m:sSub>
      </m:oMath>
      <w:r>
        <w:rPr>
          <w:rFonts w:ascii="Times New Roman" w:hAnsi="Times New Roman" w:cs="Times New Roman"/>
          <w:szCs w:val="21"/>
        </w:rPr>
        <w:t>）</w:t>
      </w:r>
      <w:r>
        <w:rPr>
          <w:rFonts w:hint="eastAsia"/>
          <w:szCs w:val="21"/>
        </w:rPr>
        <w:t>应按《海轮航道通航标准》附录A或实际通航船型选择。船舶航行安全富裕高度</w:t>
      </w:r>
      <w:r>
        <w:rPr>
          <w:rFonts w:ascii="Times New Roman" w:hAnsi="Times New Roman" w:cs="Times New Roman"/>
          <w:szCs w:val="21"/>
        </w:rPr>
        <w:t>（</w:t>
      </w:r>
      <m:oMath>
        <m:sSub>
          <m:sSubPr>
            <m:ctrlPr>
              <w:rPr>
                <w:rFonts w:hint="eastAsia" w:ascii="Cambria Math" w:hAnsi="Cambria Math"/>
                <w:szCs w:val="21"/>
              </w:rPr>
            </m:ctrlPr>
          </m:sSubPr>
          <m:e>
            <m:r>
              <m:rPr>
                <m:sty m:val="p"/>
              </m:rPr>
              <w:rPr>
                <w:rFonts w:hint="eastAsia" w:ascii="Cambria Math" w:hAnsi="Cambria Math"/>
                <w:szCs w:val="21"/>
              </w:rPr>
              <m:t>H</m:t>
            </m:r>
            <m:ctrlPr>
              <w:rPr>
                <w:rFonts w:hint="eastAsia" w:ascii="Cambria Math" w:hAnsi="Cambria Math"/>
                <w:szCs w:val="21"/>
              </w:rPr>
            </m:ctrlPr>
          </m:e>
          <m:sub>
            <m:r>
              <m:rPr>
                <m:sty m:val="p"/>
              </m:rPr>
              <w:rPr>
                <w:rFonts w:hint="eastAsia" w:ascii="Cambria Math" w:hAnsi="Cambria Math"/>
                <w:szCs w:val="21"/>
              </w:rPr>
              <m:t>2</m:t>
            </m:r>
            <m:ctrlPr>
              <w:rPr>
                <w:rFonts w:hint="eastAsia" w:ascii="Cambria Math" w:hAnsi="Cambria Math"/>
                <w:szCs w:val="21"/>
              </w:rPr>
            </m:ctrlPr>
          </m:sub>
        </m:sSub>
      </m:oMath>
      <w:r>
        <w:rPr>
          <w:rFonts w:ascii="Times New Roman" w:hAnsi="Times New Roman" w:cs="Times New Roman"/>
          <w:szCs w:val="21"/>
        </w:rPr>
        <w:t>）</w:t>
      </w:r>
      <w:r>
        <w:rPr>
          <w:rFonts w:hint="eastAsia"/>
          <w:szCs w:val="21"/>
        </w:rPr>
        <w:t>应不小于6米，且最大船舶空载高度和船舶航行安全富裕高度之和（</w:t>
      </w:r>
      <m:oMath>
        <m:sSub>
          <m:sSubPr>
            <m:ctrlPr>
              <w:rPr>
                <w:rFonts w:hint="eastAsia" w:ascii="Cambria Math" w:hAnsi="Cambria Math"/>
                <w:szCs w:val="21"/>
              </w:rPr>
            </m:ctrlPr>
          </m:sSubPr>
          <m:e>
            <m:r>
              <m:rPr>
                <m:sty m:val="p"/>
              </m:rPr>
              <w:rPr>
                <w:rFonts w:hint="eastAsia" w:ascii="Cambria Math" w:hAnsi="Cambria Math"/>
                <w:szCs w:val="21"/>
              </w:rPr>
              <m:t>H</m:t>
            </m:r>
            <m:ctrlPr>
              <w:rPr>
                <w:rFonts w:hint="eastAsia" w:ascii="Cambria Math" w:hAnsi="Cambria Math"/>
                <w:szCs w:val="21"/>
              </w:rPr>
            </m:ctrlPr>
          </m:e>
          <m:sub>
            <m:r>
              <m:rPr>
                <m:sty m:val="p"/>
              </m:rPr>
              <w:rPr>
                <w:rFonts w:hint="eastAsia" w:ascii="Cambria Math" w:hAnsi="Cambria Math"/>
                <w:szCs w:val="21"/>
              </w:rPr>
              <m:t>1</m:t>
            </m:r>
            <m:ctrlPr>
              <w:rPr>
                <w:rFonts w:hint="eastAsia" w:ascii="Cambria Math" w:hAnsi="Cambria Math"/>
                <w:szCs w:val="21"/>
              </w:rPr>
            </m:ctrlPr>
          </m:sub>
        </m:sSub>
      </m:oMath>
      <w:r>
        <w:rPr>
          <w:rFonts w:hint="eastAsia"/>
          <w:szCs w:val="21"/>
        </w:rPr>
        <w:t>+</w:t>
      </w:r>
      <m:oMath>
        <m:sSub>
          <m:sSubPr>
            <m:ctrlPr>
              <w:rPr>
                <w:rFonts w:hint="eastAsia" w:ascii="Cambria Math" w:hAnsi="Cambria Math"/>
                <w:szCs w:val="21"/>
              </w:rPr>
            </m:ctrlPr>
          </m:sSubPr>
          <m:e>
            <m:r>
              <m:rPr>
                <m:sty m:val="p"/>
              </m:rPr>
              <w:rPr>
                <w:rFonts w:hint="eastAsia" w:ascii="Cambria Math" w:hAnsi="Cambria Math"/>
                <w:szCs w:val="21"/>
              </w:rPr>
              <m:t>H</m:t>
            </m:r>
            <m:ctrlPr>
              <w:rPr>
                <w:rFonts w:hint="eastAsia" w:ascii="Cambria Math" w:hAnsi="Cambria Math"/>
                <w:szCs w:val="21"/>
              </w:rPr>
            </m:ctrlPr>
          </m:e>
          <m:sub>
            <m:r>
              <m:rPr>
                <m:sty m:val="p"/>
              </m:rPr>
              <w:rPr>
                <w:rFonts w:hint="eastAsia" w:ascii="Cambria Math" w:hAnsi="Cambria Math"/>
                <w:szCs w:val="21"/>
              </w:rPr>
              <m:t>2</m:t>
            </m:r>
            <m:ctrlPr>
              <w:rPr>
                <w:rFonts w:hint="eastAsia" w:ascii="Cambria Math" w:hAnsi="Cambria Math"/>
                <w:szCs w:val="21"/>
              </w:rPr>
            </m:ctrlPr>
          </m:sub>
        </m:sSub>
      </m:oMath>
      <w:r>
        <w:rPr>
          <w:rFonts w:hint="eastAsia"/>
          <w:szCs w:val="21"/>
        </w:rPr>
        <w:t>）应不小于表1所规定的数值。</w:t>
      </w:r>
    </w:p>
    <w:p>
      <w:pPr>
        <w:spacing w:line="360" w:lineRule="auto"/>
        <w:rPr>
          <w:rFonts w:ascii="Times New Roman" w:hAnsi="Times New Roman" w:eastAsia="宋体" w:cs="Times New Roman"/>
          <w:bCs/>
          <w:szCs w:val="21"/>
        </w:rPr>
      </w:pPr>
      <w:r>
        <w:rPr>
          <w:rFonts w:hint="eastAsia" w:ascii="黑体" w:hAnsi="黑体" w:eastAsia="黑体" w:cs="黑体"/>
          <w:kern w:val="0"/>
          <w:szCs w:val="21"/>
        </w:rPr>
        <w:t xml:space="preserve">5.1.4 </w:t>
      </w:r>
      <w:r>
        <w:rPr>
          <w:rFonts w:ascii="Times New Roman" w:hAnsi="Times New Roman" w:eastAsia="宋体" w:cs="Times New Roman"/>
          <w:bCs/>
          <w:szCs w:val="21"/>
        </w:rPr>
        <w:t>缆线安全富裕高度按表2取值。</w:t>
      </w:r>
    </w:p>
    <w:p>
      <w:pPr>
        <w:spacing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表2   缆线安全富裕高度</w:t>
      </w:r>
      <m:oMath>
        <m:sSub>
          <m:sSubPr>
            <m:ctrlPr>
              <w:rPr>
                <w:rFonts w:ascii="Cambria Math" w:hAnsi="Cambria Math" w:eastAsia="黑体" w:cs="Times New Roman"/>
                <w:kern w:val="0"/>
                <w:szCs w:val="21"/>
              </w:rPr>
            </m:ctrlPr>
          </m:sSubPr>
          <m:e>
            <m:r>
              <m:rPr>
                <m:sty m:val="p"/>
              </m:rPr>
              <w:rPr>
                <w:rFonts w:ascii="Cambria Math" w:hAnsi="Cambria Math" w:eastAsia="黑体" w:cs="Times New Roman"/>
                <w:kern w:val="0"/>
                <w:szCs w:val="21"/>
              </w:rPr>
              <m:t>H</m:t>
            </m:r>
            <m:ctrlPr>
              <w:rPr>
                <w:rFonts w:ascii="Cambria Math" w:hAnsi="Cambria Math" w:eastAsia="黑体" w:cs="Times New Roman"/>
                <w:kern w:val="0"/>
                <w:szCs w:val="21"/>
              </w:rPr>
            </m:ctrlPr>
          </m:e>
          <m:sub>
            <m:r>
              <m:rPr>
                <m:sty m:val="p"/>
              </m:rPr>
              <w:rPr>
                <w:rFonts w:ascii="Cambria Math" w:hAnsi="Cambria Math" w:eastAsia="黑体" w:cs="Times New Roman"/>
                <w:kern w:val="0"/>
                <w:szCs w:val="21"/>
              </w:rPr>
              <m:t>3</m:t>
            </m:r>
            <m:ctrlPr>
              <w:rPr>
                <w:rFonts w:ascii="Cambria Math" w:hAnsi="Cambria Math" w:eastAsia="黑体" w:cs="Times New Roman"/>
                <w:kern w:val="0"/>
                <w:szCs w:val="21"/>
              </w:rPr>
            </m:ctrlPr>
          </m:sub>
        </m:sSub>
      </m:oMath>
    </w:p>
    <w:tbl>
      <w:tblPr>
        <w:tblStyle w:val="12"/>
        <w:tblW w:w="95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6"/>
        <w:gridCol w:w="830"/>
        <w:gridCol w:w="709"/>
        <w:gridCol w:w="851"/>
        <w:gridCol w:w="567"/>
        <w:gridCol w:w="567"/>
        <w:gridCol w:w="708"/>
        <w:gridCol w:w="851"/>
        <w:gridCol w:w="850"/>
        <w:gridCol w:w="1043"/>
        <w:gridCol w:w="10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7479" w:type="dxa"/>
            <w:gridSpan w:val="9"/>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电力线</w:t>
            </w:r>
          </w:p>
        </w:tc>
        <w:tc>
          <w:tcPr>
            <w:tcW w:w="1043" w:type="dxa"/>
            <w:vAlign w:val="center"/>
          </w:tcPr>
          <w:p>
            <w:pPr>
              <w:adjustRightInd w:val="0"/>
              <w:snapToGrid w:val="0"/>
              <w:jc w:val="center"/>
              <w:rPr>
                <w:rFonts w:ascii="Times New Roman" w:hAnsi="Times New Roman" w:cs="Times New Roman"/>
                <w:sz w:val="18"/>
                <w:szCs w:val="18"/>
              </w:rPr>
            </w:pPr>
          </w:p>
        </w:tc>
        <w:tc>
          <w:tcPr>
            <w:tcW w:w="104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通信和广播电视线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电压等级（kV）</w:t>
            </w:r>
          </w:p>
        </w:tc>
        <w:tc>
          <w:tcPr>
            <w:tcW w:w="830"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1以下</w:t>
            </w:r>
          </w:p>
        </w:tc>
        <w:tc>
          <w:tcPr>
            <w:tcW w:w="709"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1-10</w:t>
            </w:r>
          </w:p>
        </w:tc>
        <w:tc>
          <w:tcPr>
            <w:tcW w:w="85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35-110</w:t>
            </w:r>
          </w:p>
        </w:tc>
        <w:tc>
          <w:tcPr>
            <w:tcW w:w="567"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220</w:t>
            </w:r>
          </w:p>
        </w:tc>
        <w:tc>
          <w:tcPr>
            <w:tcW w:w="567"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33</w:t>
            </w:r>
            <w:r>
              <w:rPr>
                <w:rFonts w:ascii="Times New Roman" w:hAnsi="Times New Roman" w:cs="Times New Roman"/>
                <w:sz w:val="18"/>
                <w:szCs w:val="18"/>
              </w:rPr>
              <w:t>0</w:t>
            </w:r>
          </w:p>
        </w:tc>
        <w:tc>
          <w:tcPr>
            <w:tcW w:w="708"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500</w:t>
            </w:r>
          </w:p>
        </w:tc>
        <w:tc>
          <w:tcPr>
            <w:tcW w:w="85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1000</w:t>
            </w:r>
          </w:p>
        </w:tc>
        <w:tc>
          <w:tcPr>
            <w:tcW w:w="850"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±500</w:t>
            </w:r>
          </w:p>
        </w:tc>
        <w:tc>
          <w:tcPr>
            <w:tcW w:w="104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±800</w:t>
            </w:r>
          </w:p>
        </w:tc>
        <w:tc>
          <w:tcPr>
            <w:tcW w:w="1043"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6" w:type="dxa"/>
            <w:vAlign w:val="center"/>
          </w:tcPr>
          <w:p>
            <w:pPr>
              <w:adjustRightInd w:val="0"/>
              <w:snapToGrid w:val="0"/>
              <w:jc w:val="center"/>
              <w:rPr>
                <w:rFonts w:ascii="Times New Roman" w:hAnsi="Times New Roman" w:cs="Times New Roman"/>
                <w:sz w:val="18"/>
                <w:szCs w:val="18"/>
              </w:rPr>
            </w:pPr>
            <m:oMath>
              <m:sSub>
                <m:sSubPr>
                  <m:ctrlPr>
                    <w:rPr>
                      <w:rFonts w:ascii="Cambria Math" w:hAnsi="Cambria Math" w:cs="Times New Roman"/>
                      <w:bCs/>
                      <w:sz w:val="18"/>
                      <w:szCs w:val="18"/>
                    </w:rPr>
                  </m:ctrlPr>
                </m:sSubPr>
                <m:e>
                  <m:r>
                    <m:rPr>
                      <m:sty m:val="p"/>
                    </m:rPr>
                    <w:rPr>
                      <w:rFonts w:ascii="Cambria Math" w:hAnsi="Cambria Math" w:cs="Times New Roman"/>
                      <w:sz w:val="18"/>
                      <w:szCs w:val="18"/>
                    </w:rPr>
                    <m:t>H</m:t>
                  </m:r>
                  <m:ctrlPr>
                    <w:rPr>
                      <w:rFonts w:ascii="Cambria Math" w:hAnsi="Cambria Math" w:cs="Times New Roman"/>
                      <w:bCs/>
                      <w:sz w:val="18"/>
                      <w:szCs w:val="18"/>
                    </w:rPr>
                  </m:ctrlPr>
                </m:e>
                <m:sub>
                  <m:r>
                    <m:rPr>
                      <m:sty m:val="p"/>
                    </m:rPr>
                    <w:rPr>
                      <w:rFonts w:ascii="Cambria Math" w:hAnsi="Cambria Math" w:cs="Times New Roman"/>
                      <w:sz w:val="18"/>
                      <w:szCs w:val="18"/>
                    </w:rPr>
                    <m:t>3</m:t>
                  </m:r>
                  <m:ctrlPr>
                    <w:rPr>
                      <w:rFonts w:ascii="Cambria Math" w:hAnsi="Cambria Math" w:cs="Times New Roman"/>
                      <w:bCs/>
                      <w:sz w:val="18"/>
                      <w:szCs w:val="18"/>
                    </w:rPr>
                  </m:ctrlPr>
                </m:sub>
              </m:sSub>
            </m:oMath>
            <w:r>
              <w:rPr>
                <w:rFonts w:ascii="Times New Roman" w:hAnsi="Times New Roman" w:cs="Times New Roman"/>
                <w:bCs/>
                <w:sz w:val="18"/>
                <w:szCs w:val="18"/>
              </w:rPr>
              <w:t>（</w:t>
            </w:r>
            <w:r>
              <w:rPr>
                <w:rFonts w:ascii="Times New Roman" w:hAnsi="Times New Roman" w:cs="Times New Roman"/>
                <w:bCs/>
                <w:sz w:val="18"/>
                <w:szCs w:val="18"/>
                <w:lang w:eastAsia="zh-Hans"/>
              </w:rPr>
              <w:t>m）</w:t>
            </w:r>
          </w:p>
        </w:tc>
        <w:tc>
          <w:tcPr>
            <w:tcW w:w="830"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567" w:type="dxa"/>
            <w:vAlign w:val="center"/>
          </w:tcPr>
          <w:p>
            <w:pPr>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w:t>
            </w:r>
          </w:p>
        </w:tc>
        <w:tc>
          <w:tcPr>
            <w:tcW w:w="708"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6.0</w:t>
            </w:r>
          </w:p>
        </w:tc>
        <w:tc>
          <w:tcPr>
            <w:tcW w:w="85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6.0</w:t>
            </w:r>
          </w:p>
        </w:tc>
        <w:tc>
          <w:tcPr>
            <w:tcW w:w="104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10.5</w:t>
            </w:r>
          </w:p>
        </w:tc>
        <w:tc>
          <w:tcPr>
            <w:tcW w:w="104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9565" w:type="dxa"/>
            <w:gridSpan w:val="11"/>
            <w:vAlign w:val="center"/>
          </w:tcPr>
          <w:p>
            <w:pPr>
              <w:spacing w:before="156" w:beforeLines="50" w:after="156" w:afterLines="50"/>
              <w:jc w:val="left"/>
              <w:rPr>
                <w:rFonts w:ascii="Times New Roman" w:hAnsi="Times New Roman" w:cs="Times New Roman"/>
                <w:sz w:val="18"/>
                <w:szCs w:val="18"/>
              </w:rPr>
            </w:pPr>
            <w:bookmarkStart w:id="62" w:name="_Toc31639895"/>
            <w:bookmarkStart w:id="63" w:name="_Toc34818782"/>
            <w:r>
              <w:rPr>
                <w:rFonts w:ascii="Times New Roman" w:hAnsi="Times New Roman" w:cs="Times New Roman"/>
                <w:sz w:val="18"/>
                <w:szCs w:val="18"/>
              </w:rPr>
              <w:t>注：对于电压等级超过1000kv或±800kv的超高压架空缆线，其安全富裕高度应应通过专题论证确定，但不得小于表2规定的数值。</w:t>
            </w:r>
          </w:p>
        </w:tc>
      </w:tr>
    </w:tbl>
    <w:p>
      <w:pPr>
        <w:snapToGrid w:val="0"/>
        <w:spacing w:before="156" w:after="156" w:afterLines="50" w:line="360" w:lineRule="auto"/>
        <w:rPr>
          <w:szCs w:val="21"/>
        </w:rPr>
      </w:pPr>
      <w:r>
        <w:rPr>
          <w:rFonts w:hint="eastAsia" w:ascii="黑体" w:hAnsi="黑体" w:eastAsia="黑体" w:cs="黑体"/>
        </w:rPr>
        <w:t>5</w:t>
      </w:r>
      <w:r>
        <w:rPr>
          <w:rFonts w:ascii="黑体" w:hAnsi="黑体" w:eastAsia="黑体" w:cs="黑体"/>
        </w:rPr>
        <w:t xml:space="preserve">.2  </w:t>
      </w:r>
      <w:r>
        <w:rPr>
          <w:rFonts w:hint="eastAsia" w:ascii="黑体" w:hAnsi="黑体" w:eastAsia="黑体" w:cs="黑体"/>
        </w:rPr>
        <w:t>通航净</w:t>
      </w:r>
      <w:r>
        <w:rPr>
          <w:rFonts w:hint="eastAsia" w:ascii="黑体" w:hAnsi="黑体" w:eastAsia="黑体" w:cs="黑体"/>
          <w:lang w:eastAsia="zh-Hans"/>
        </w:rPr>
        <w:t>宽</w:t>
      </w:r>
      <w:bookmarkEnd w:id="62"/>
      <w:bookmarkEnd w:id="63"/>
    </w:p>
    <w:p>
      <w:pPr>
        <w:spacing w:line="360" w:lineRule="auto"/>
        <w:rPr>
          <w:szCs w:val="21"/>
        </w:rPr>
      </w:pPr>
      <w:r>
        <w:rPr>
          <w:rFonts w:hint="eastAsia" w:ascii="黑体" w:hAnsi="黑体" w:eastAsia="黑体" w:cs="黑体"/>
          <w:kern w:val="0"/>
          <w:szCs w:val="21"/>
        </w:rPr>
        <w:t>5</w:t>
      </w:r>
      <w:r>
        <w:rPr>
          <w:rFonts w:ascii="黑体" w:hAnsi="黑体" w:eastAsia="黑体" w:cs="黑体"/>
          <w:kern w:val="0"/>
          <w:szCs w:val="21"/>
        </w:rPr>
        <w:t>.2.1</w:t>
      </w:r>
      <w:r>
        <w:rPr>
          <w:szCs w:val="21"/>
        </w:rPr>
        <w:t xml:space="preserve"> </w:t>
      </w:r>
      <w:r>
        <w:rPr>
          <w:rFonts w:hint="eastAsia"/>
          <w:szCs w:val="21"/>
        </w:rPr>
        <w:t>架空缆线工程原则上采用一跨过河。</w:t>
      </w:r>
      <w:r>
        <w:rPr>
          <w:rFonts w:hint="eastAsia"/>
          <w:szCs w:val="21"/>
          <w:lang w:eastAsia="zh-Hans"/>
        </w:rPr>
        <w:t>必</w:t>
      </w:r>
      <w:r>
        <w:rPr>
          <w:rFonts w:hint="eastAsia"/>
          <w:szCs w:val="21"/>
        </w:rPr>
        <w:t>须在河中设立墩柱的，应符合水上过河建筑物选址、布设等要求，并采取相应的安全保障措施。</w:t>
      </w:r>
    </w:p>
    <w:p>
      <w:pPr>
        <w:spacing w:line="360" w:lineRule="auto"/>
        <w:rPr>
          <w:szCs w:val="21"/>
        </w:rPr>
      </w:pPr>
      <w:r>
        <w:rPr>
          <w:rFonts w:hint="eastAsia" w:ascii="黑体" w:hAnsi="黑体" w:eastAsia="黑体" w:cs="黑体"/>
          <w:kern w:val="0"/>
          <w:szCs w:val="21"/>
        </w:rPr>
        <w:t>5</w:t>
      </w:r>
      <w:r>
        <w:rPr>
          <w:rFonts w:ascii="黑体" w:hAnsi="黑体" w:eastAsia="黑体" w:cs="黑体"/>
          <w:kern w:val="0"/>
          <w:szCs w:val="21"/>
        </w:rPr>
        <w:t xml:space="preserve">.2.2 </w:t>
      </w:r>
      <w:r>
        <w:rPr>
          <w:rFonts w:hint="eastAsia"/>
          <w:szCs w:val="21"/>
        </w:rPr>
        <w:t>架空缆线杆塔的通航净宽尺度应结合航道规划预留空间及架空缆线、航道技术条件和航标配布等实际情况综合论证确定。</w:t>
      </w:r>
    </w:p>
    <w:p>
      <w:pPr>
        <w:pStyle w:val="3"/>
        <w:spacing w:before="312" w:beforeLines="100" w:after="312" w:afterLines="100" w:line="240" w:lineRule="auto"/>
        <w:rPr>
          <w:rFonts w:ascii="黑体" w:hAnsi="黑体" w:eastAsia="黑体" w:cs="黑体"/>
          <w:sz w:val="21"/>
          <w:szCs w:val="21"/>
        </w:rPr>
      </w:pPr>
      <w:bookmarkStart w:id="64" w:name="_Toc32024"/>
      <w:bookmarkStart w:id="65" w:name="_Toc120979535"/>
      <w:bookmarkStart w:id="66" w:name="_Toc343"/>
      <w:bookmarkStart w:id="67" w:name="_Toc6557"/>
      <w:bookmarkStart w:id="68" w:name="_Toc495786869"/>
      <w:bookmarkStart w:id="69" w:name="_Toc11600"/>
      <w:r>
        <w:rPr>
          <w:rFonts w:hint="eastAsia" w:ascii="黑体" w:hAnsi="黑体" w:eastAsia="黑体" w:cs="黑体"/>
          <w:sz w:val="21"/>
          <w:szCs w:val="21"/>
        </w:rPr>
        <w:t>6</w:t>
      </w:r>
      <w:r>
        <w:rPr>
          <w:rFonts w:ascii="黑体" w:hAnsi="黑体" w:eastAsia="黑体" w:cs="黑体"/>
          <w:sz w:val="21"/>
          <w:szCs w:val="21"/>
        </w:rPr>
        <w:t xml:space="preserve"> </w:t>
      </w:r>
      <w:r>
        <w:rPr>
          <w:rFonts w:hint="eastAsia" w:ascii="黑体" w:hAnsi="黑体" w:eastAsia="黑体" w:cs="黑体"/>
          <w:sz w:val="21"/>
          <w:szCs w:val="21"/>
        </w:rPr>
        <w:t>设计最高通航水位</w:t>
      </w:r>
      <w:bookmarkEnd w:id="64"/>
      <w:bookmarkEnd w:id="65"/>
      <w:bookmarkEnd w:id="66"/>
      <w:bookmarkEnd w:id="67"/>
      <w:bookmarkEnd w:id="68"/>
      <w:bookmarkEnd w:id="69"/>
    </w:p>
    <w:p>
      <w:pPr>
        <w:spacing w:line="360" w:lineRule="auto"/>
        <w:ind w:firstLine="420" w:firstLineChars="200"/>
      </w:pPr>
      <w:r>
        <w:t>设计最高通航水位的取值按《内河通航标准》（GB</w:t>
      </w:r>
      <w:r>
        <w:rPr>
          <w:rFonts w:hint="eastAsia"/>
        </w:rPr>
        <w:t xml:space="preserve"> 50</w:t>
      </w:r>
      <w:r>
        <w:t xml:space="preserve"> 139）、《海轮航道通航标准》（JTS 180-3）、《广东省沿海航道通航标准》（DB44T 1355</w:t>
      </w:r>
      <w:r>
        <w:rPr>
          <w:rFonts w:hint="eastAsia"/>
        </w:rPr>
        <w:t>）</w:t>
      </w:r>
      <w:r>
        <w:t>和广东省《</w:t>
      </w:r>
      <w:r>
        <w:rPr>
          <w:rFonts w:hint="eastAsia"/>
        </w:rPr>
        <w:t>内河</w:t>
      </w:r>
      <w:r>
        <w:t>等外级航道通航标准》的规定执行。</w:t>
      </w:r>
    </w:p>
    <w:p>
      <w:pPr>
        <w:pStyle w:val="2"/>
        <w:rPr>
          <w:rFonts w:ascii="黑体" w:hAnsi="黑体" w:eastAsia="黑体" w:cs="黑体"/>
          <w:szCs w:val="21"/>
        </w:rPr>
      </w:pPr>
    </w:p>
    <w:p>
      <w:pPr>
        <w:pStyle w:val="2"/>
        <w:rPr>
          <w:rFonts w:ascii="黑体" w:hAnsi="黑体" w:eastAsia="黑体" w:cs="黑体"/>
          <w:szCs w:val="21"/>
        </w:rPr>
      </w:pPr>
    </w:p>
    <w:p>
      <w:pPr>
        <w:spacing w:line="360" w:lineRule="auto"/>
        <w:rPr>
          <w:lang w:eastAsia="zh-Hans"/>
        </w:rPr>
      </w:pPr>
    </w:p>
    <w:p>
      <w:pPr>
        <w:pStyle w:val="2"/>
        <w:ind w:left="0" w:leftChars="0" w:firstLine="1265" w:firstLineChars="600"/>
        <w:jc w:val="left"/>
        <w:rPr>
          <w:rFonts w:ascii="黑体" w:hAnsi="黑体" w:eastAsia="黑体" w:cs="黑体"/>
          <w:b/>
          <w:bCs/>
          <w:szCs w:val="21"/>
        </w:rPr>
      </w:pPr>
    </w:p>
    <w:sectPr>
      <w:footerReference r:id="rId7" w:type="default"/>
      <w:pgSz w:w="11906" w:h="16838"/>
      <w:pgMar w:top="1418"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400"/>
      <w:jc w:val="right"/>
      <w:rPr>
        <w:rFonts w:ascii="黑体" w:hAnsi="黑体" w:eastAsia="黑体" w:cs="黑体"/>
        <w:sz w:val="21"/>
        <w:szCs w:val="21"/>
        <w:lang w:val="en-US"/>
      </w:rPr>
    </w:pPr>
    <w:r>
      <w:rPr>
        <w:rFonts w:hint="eastAsia" w:ascii="黑体" w:hAnsi="黑体" w:eastAsia="黑体" w:cs="黑体"/>
        <w:sz w:val="21"/>
        <w:szCs w:val="21"/>
        <w:lang w:val="en-US"/>
      </w:rPr>
      <w:t>DB XX/T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TAxYzc4MWFmNjE0ZmU3MzA4YmE4ZGE4MDNlYWIifQ=="/>
  </w:docVars>
  <w:rsids>
    <w:rsidRoot w:val="002F481D"/>
    <w:rsid w:val="00036314"/>
    <w:rsid w:val="000945DB"/>
    <w:rsid w:val="002F481D"/>
    <w:rsid w:val="00536480"/>
    <w:rsid w:val="009253B2"/>
    <w:rsid w:val="00DF7C03"/>
    <w:rsid w:val="00E215F8"/>
    <w:rsid w:val="00F32B68"/>
    <w:rsid w:val="02C577C8"/>
    <w:rsid w:val="033722B5"/>
    <w:rsid w:val="053B3738"/>
    <w:rsid w:val="059705B7"/>
    <w:rsid w:val="077B1545"/>
    <w:rsid w:val="09C211BC"/>
    <w:rsid w:val="0B334FD6"/>
    <w:rsid w:val="0CEB6FD4"/>
    <w:rsid w:val="0D014F32"/>
    <w:rsid w:val="0EBF4D69"/>
    <w:rsid w:val="10882686"/>
    <w:rsid w:val="10C65707"/>
    <w:rsid w:val="10F13146"/>
    <w:rsid w:val="121A2103"/>
    <w:rsid w:val="12DA3437"/>
    <w:rsid w:val="140B3FB7"/>
    <w:rsid w:val="1485708F"/>
    <w:rsid w:val="16CA27F1"/>
    <w:rsid w:val="16CB3228"/>
    <w:rsid w:val="196E42D4"/>
    <w:rsid w:val="1A914C62"/>
    <w:rsid w:val="1C060706"/>
    <w:rsid w:val="1C545933"/>
    <w:rsid w:val="21692131"/>
    <w:rsid w:val="224F001E"/>
    <w:rsid w:val="27F531B9"/>
    <w:rsid w:val="2949453C"/>
    <w:rsid w:val="294E0E09"/>
    <w:rsid w:val="2AAB58C3"/>
    <w:rsid w:val="2D421C05"/>
    <w:rsid w:val="327F676A"/>
    <w:rsid w:val="357F6C44"/>
    <w:rsid w:val="362C597E"/>
    <w:rsid w:val="36F04B0A"/>
    <w:rsid w:val="37716B20"/>
    <w:rsid w:val="3B4B621A"/>
    <w:rsid w:val="3C640178"/>
    <w:rsid w:val="3D376E35"/>
    <w:rsid w:val="3E046E80"/>
    <w:rsid w:val="3F0C13C6"/>
    <w:rsid w:val="3F9BA2DC"/>
    <w:rsid w:val="3FFA2AC5"/>
    <w:rsid w:val="40437204"/>
    <w:rsid w:val="40F005A0"/>
    <w:rsid w:val="480F1F30"/>
    <w:rsid w:val="49406D04"/>
    <w:rsid w:val="4F91176E"/>
    <w:rsid w:val="510849E6"/>
    <w:rsid w:val="51F37EF0"/>
    <w:rsid w:val="5297084A"/>
    <w:rsid w:val="532704BF"/>
    <w:rsid w:val="55A906EE"/>
    <w:rsid w:val="574208F3"/>
    <w:rsid w:val="574A1C40"/>
    <w:rsid w:val="58CB5722"/>
    <w:rsid w:val="59191B92"/>
    <w:rsid w:val="596671F9"/>
    <w:rsid w:val="5AAB3D2E"/>
    <w:rsid w:val="5C4D063B"/>
    <w:rsid w:val="5EDD63C0"/>
    <w:rsid w:val="60E748C3"/>
    <w:rsid w:val="63C71740"/>
    <w:rsid w:val="67696DF0"/>
    <w:rsid w:val="67AA7A7E"/>
    <w:rsid w:val="6AD246EE"/>
    <w:rsid w:val="6B8218D7"/>
    <w:rsid w:val="6C846F5B"/>
    <w:rsid w:val="6D420BB8"/>
    <w:rsid w:val="6D5E3228"/>
    <w:rsid w:val="6EC72090"/>
    <w:rsid w:val="6F626D8A"/>
    <w:rsid w:val="6F75632E"/>
    <w:rsid w:val="70F74EAF"/>
    <w:rsid w:val="73A15F64"/>
    <w:rsid w:val="742501B0"/>
    <w:rsid w:val="79772456"/>
    <w:rsid w:val="7A8144D7"/>
    <w:rsid w:val="7B3D5E01"/>
    <w:rsid w:val="7C0351B1"/>
    <w:rsid w:val="7CC21429"/>
    <w:rsid w:val="7D510F4B"/>
    <w:rsid w:val="7D89433B"/>
    <w:rsid w:val="7FFF97F7"/>
    <w:rsid w:val="F5F78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napToGrid w:val="0"/>
      <w:spacing w:before="50" w:beforeLines="50" w:line="360" w:lineRule="auto"/>
      <w:outlineLvl w:val="0"/>
    </w:pPr>
    <w:rPr>
      <w:rFonts w:eastAsia="宋体"/>
      <w:kern w:val="44"/>
      <w:sz w:val="32"/>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w:basedOn w:val="1"/>
    <w:qFormat/>
    <w:uiPriority w:val="99"/>
    <w:pPr>
      <w:shd w:val="clear" w:color="auto" w:fill="FFFFFF"/>
      <w:spacing w:line="240" w:lineRule="atLeast"/>
      <w:ind w:hanging="280"/>
      <w:jc w:val="left"/>
    </w:pPr>
    <w:rPr>
      <w:rFonts w:ascii="MingLiU" w:eastAsia="MingLiU" w:cs="MingLiU"/>
      <w:spacing w:val="10"/>
      <w:sz w:val="25"/>
      <w:szCs w:val="25"/>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unhideWhenUsed/>
    <w:qFormat/>
    <w:uiPriority w:val="99"/>
    <w:rPr>
      <w:color w:val="0000FF"/>
      <w:u w:val="single"/>
    </w:rPr>
  </w:style>
  <w:style w:type="paragraph" w:customStyle="1" w:styleId="15">
    <w:name w:val="二标题"/>
    <w:basedOn w:val="1"/>
    <w:link w:val="16"/>
    <w:qFormat/>
    <w:uiPriority w:val="0"/>
    <w:pPr>
      <w:snapToGrid w:val="0"/>
      <w:spacing w:before="50" w:beforeLines="50" w:after="100" w:afterLines="100"/>
      <w:jc w:val="left"/>
      <w:outlineLvl w:val="0"/>
    </w:pPr>
    <w:rPr>
      <w:rFonts w:ascii="仿宋_GB2312" w:hAnsi="仿宋_GB2312" w:eastAsia="仿宋_GB2312" w:cs="Times New Roman"/>
      <w:b/>
      <w:snapToGrid w:val="0"/>
      <w:kern w:val="0"/>
      <w:sz w:val="32"/>
      <w:szCs w:val="30"/>
    </w:rPr>
  </w:style>
  <w:style w:type="character" w:customStyle="1" w:styleId="16">
    <w:name w:val="二标题 Char"/>
    <w:basedOn w:val="13"/>
    <w:link w:val="15"/>
    <w:qFormat/>
    <w:uiPriority w:val="0"/>
    <w:rPr>
      <w:rFonts w:ascii="仿宋_GB2312" w:hAnsi="仿宋_GB2312" w:eastAsia="仿宋_GB2312" w:cs="Times New Roman"/>
      <w:b/>
      <w:snapToGrid w:val="0"/>
      <w:kern w:val="0"/>
      <w:sz w:val="32"/>
      <w:szCs w:val="30"/>
    </w:rPr>
  </w:style>
  <w:style w:type="paragraph" w:customStyle="1" w:styleId="17">
    <w:name w:val="三标题"/>
    <w:basedOn w:val="1"/>
    <w:link w:val="18"/>
    <w:qFormat/>
    <w:uiPriority w:val="0"/>
    <w:pPr>
      <w:snapToGrid w:val="0"/>
      <w:spacing w:before="50" w:beforeLines="50" w:line="360" w:lineRule="auto"/>
      <w:outlineLvl w:val="1"/>
    </w:pPr>
    <w:rPr>
      <w:rFonts w:ascii="仿宋_GB2312" w:hAnsi="仿宋_GB2312" w:eastAsia="仿宋_GB2312" w:cs="Times New Roman"/>
      <w:b/>
      <w:snapToGrid w:val="0"/>
      <w:kern w:val="0"/>
      <w:sz w:val="30"/>
      <w:szCs w:val="30"/>
    </w:rPr>
  </w:style>
  <w:style w:type="character" w:customStyle="1" w:styleId="18">
    <w:name w:val="三标题 Char"/>
    <w:basedOn w:val="13"/>
    <w:link w:val="17"/>
    <w:qFormat/>
    <w:uiPriority w:val="0"/>
    <w:rPr>
      <w:rFonts w:ascii="仿宋_GB2312" w:hAnsi="仿宋_GB2312" w:eastAsia="仿宋_GB2312" w:cs="Times New Roman"/>
      <w:b/>
      <w:snapToGrid w:val="0"/>
      <w:kern w:val="0"/>
      <w:sz w:val="30"/>
      <w:szCs w:val="30"/>
    </w:rPr>
  </w:style>
  <w:style w:type="character" w:customStyle="1" w:styleId="19">
    <w:name w:val="标题 1 字符"/>
    <w:basedOn w:val="13"/>
    <w:link w:val="3"/>
    <w:qFormat/>
    <w:uiPriority w:val="0"/>
    <w:rPr>
      <w:rFonts w:eastAsia="宋体"/>
      <w:kern w:val="44"/>
      <w:sz w:val="32"/>
    </w:rPr>
  </w:style>
  <w:style w:type="character" w:customStyle="1" w:styleId="20">
    <w:name w:val="批注框文本 字符"/>
    <w:basedOn w:val="13"/>
    <w:link w:val="6"/>
    <w:qFormat/>
    <w:uiPriority w:val="0"/>
    <w:rPr>
      <w:kern w:val="2"/>
      <w:sz w:val="18"/>
      <w:szCs w:val="18"/>
    </w:rPr>
  </w:style>
  <w:style w:type="character" w:customStyle="1" w:styleId="21">
    <w:name w:val="font01"/>
    <w:basedOn w:val="13"/>
    <w:qFormat/>
    <w:uiPriority w:val="0"/>
    <w:rPr>
      <w:rFonts w:hint="eastAsia" w:ascii="微软雅黑" w:hAnsi="微软雅黑" w:eastAsia="微软雅黑" w:cs="微软雅黑"/>
      <w:color w:val="000000"/>
      <w:sz w:val="22"/>
      <w:szCs w:val="22"/>
      <w:u w:val="none"/>
    </w:rPr>
  </w:style>
  <w:style w:type="character" w:customStyle="1" w:styleId="22">
    <w:name w:val="font2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1663</Words>
  <Characters>1964</Characters>
  <Lines>19</Lines>
  <Paragraphs>5</Paragraphs>
  <TotalTime>60</TotalTime>
  <ScaleCrop>false</ScaleCrop>
  <LinksUpToDate>false</LinksUpToDate>
  <CharactersWithSpaces>2048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2021-07-29T19:26:00Z</dcterms:created>
  <dc:creator>Administrator</dc:creator>
  <cp:lastModifiedBy>晴天</cp:lastModifiedBy>
  <cp:lastPrinted>2022-10-08T09:08:00Z</cp:lastPrinted>
  <dcterms:modified xsi:type="dcterms:W3CDTF">2023-02-22T03:01:32Z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6B0E673097C9435196943E64520206BC</vt:lpwstr>
  </property>
</Properties>
</file>