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33" w:rsidRPr="002B2129" w:rsidRDefault="002B2129" w:rsidP="002B2129">
      <w:pPr>
        <w:jc w:val="center"/>
        <w:rPr>
          <w:rFonts w:hint="eastAsia"/>
          <w:b/>
          <w:sz w:val="36"/>
          <w:szCs w:val="36"/>
        </w:rPr>
      </w:pPr>
      <w:r w:rsidRPr="002B2129">
        <w:rPr>
          <w:rFonts w:hint="eastAsia"/>
          <w:b/>
          <w:sz w:val="36"/>
          <w:szCs w:val="36"/>
        </w:rPr>
        <w:t>《广东省交通运输厅关于公路路政许的实施办法》公开征求意见汇总表</w:t>
      </w:r>
    </w:p>
    <w:tbl>
      <w:tblPr>
        <w:tblStyle w:val="a3"/>
        <w:tblpPr w:leftFromText="180" w:rightFromText="180" w:vertAnchor="page" w:horzAnchor="margin" w:tblpXSpec="center" w:tblpY="3412"/>
        <w:tblW w:w="15144" w:type="dxa"/>
        <w:tblLayout w:type="fixed"/>
        <w:tblLook w:val="04A0"/>
      </w:tblPr>
      <w:tblGrid>
        <w:gridCol w:w="817"/>
        <w:gridCol w:w="1418"/>
        <w:gridCol w:w="1902"/>
        <w:gridCol w:w="3827"/>
        <w:gridCol w:w="3626"/>
        <w:gridCol w:w="2693"/>
        <w:gridCol w:w="861"/>
      </w:tblGrid>
      <w:tr w:rsidR="002B2129" w:rsidTr="002B2129">
        <w:tc>
          <w:tcPr>
            <w:tcW w:w="817" w:type="dxa"/>
            <w:vAlign w:val="center"/>
          </w:tcPr>
          <w:p w:rsidR="002B2129" w:rsidRPr="002B2129" w:rsidRDefault="002B2129" w:rsidP="0091012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B212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2B2129" w:rsidRPr="002B2129" w:rsidRDefault="002B2129" w:rsidP="0091012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B212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意见来源</w:t>
            </w:r>
          </w:p>
        </w:tc>
        <w:tc>
          <w:tcPr>
            <w:tcW w:w="1902" w:type="dxa"/>
            <w:vAlign w:val="center"/>
          </w:tcPr>
          <w:p w:rsidR="002B2129" w:rsidRPr="002B2129" w:rsidRDefault="002B2129" w:rsidP="0091012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B212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征求意见稿条款</w:t>
            </w:r>
          </w:p>
        </w:tc>
        <w:tc>
          <w:tcPr>
            <w:tcW w:w="3827" w:type="dxa"/>
            <w:vAlign w:val="center"/>
          </w:tcPr>
          <w:p w:rsidR="002B2129" w:rsidRPr="002B2129" w:rsidRDefault="002B2129" w:rsidP="0091012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B212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修改意见或建议</w:t>
            </w:r>
          </w:p>
        </w:tc>
        <w:tc>
          <w:tcPr>
            <w:tcW w:w="3626" w:type="dxa"/>
            <w:vAlign w:val="center"/>
          </w:tcPr>
          <w:p w:rsidR="002B2129" w:rsidRPr="002B2129" w:rsidRDefault="002B2129" w:rsidP="0091012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B212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修改理由</w:t>
            </w:r>
          </w:p>
        </w:tc>
        <w:tc>
          <w:tcPr>
            <w:tcW w:w="2693" w:type="dxa"/>
            <w:vAlign w:val="center"/>
          </w:tcPr>
          <w:p w:rsidR="002B2129" w:rsidRPr="002B2129" w:rsidRDefault="002B2129" w:rsidP="0091012F">
            <w:pPr>
              <w:jc w:val="center"/>
              <w:rPr>
                <w:rFonts w:asciiTheme="minorEastAsia" w:hAnsiTheme="minorEastAsia" w:cs="黑体"/>
                <w:sz w:val="28"/>
                <w:szCs w:val="28"/>
              </w:rPr>
            </w:pPr>
            <w:r w:rsidRPr="002B2129">
              <w:rPr>
                <w:rFonts w:asciiTheme="minorEastAsia" w:hAnsiTheme="minorEastAsia" w:cs="黑体" w:hint="eastAsia"/>
                <w:sz w:val="28"/>
                <w:szCs w:val="28"/>
              </w:rPr>
              <w:t>采纳情况</w:t>
            </w:r>
          </w:p>
        </w:tc>
        <w:tc>
          <w:tcPr>
            <w:tcW w:w="861" w:type="dxa"/>
            <w:vAlign w:val="center"/>
          </w:tcPr>
          <w:p w:rsidR="002B2129" w:rsidRPr="002B2129" w:rsidRDefault="002B2129" w:rsidP="0091012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B2129">
              <w:rPr>
                <w:rFonts w:asciiTheme="minorEastAsia" w:hAnsiTheme="minorEastAsia" w:cs="黑体" w:hint="eastAsia"/>
                <w:sz w:val="28"/>
                <w:szCs w:val="28"/>
              </w:rPr>
              <w:t>备注</w:t>
            </w:r>
          </w:p>
        </w:tc>
      </w:tr>
      <w:tr w:rsidR="002B2129" w:rsidRPr="002B2129" w:rsidTr="002B2129">
        <w:trPr>
          <w:trHeight w:val="1333"/>
        </w:trPr>
        <w:tc>
          <w:tcPr>
            <w:tcW w:w="817" w:type="dxa"/>
            <w:vAlign w:val="center"/>
          </w:tcPr>
          <w:p w:rsidR="002B2129" w:rsidRPr="002B2129" w:rsidRDefault="002B2129" w:rsidP="0091012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2B2129" w:rsidRPr="002B2129" w:rsidRDefault="002B2129" w:rsidP="002B212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夕阳</w:t>
            </w:r>
            <w:r w:rsidRPr="002B2129">
              <w:rPr>
                <w:rFonts w:asciiTheme="minorEastAsia" w:hAnsiTheme="minorEastAsia" w:cs="仿宋_GB2312"/>
                <w:sz w:val="21"/>
                <w:szCs w:val="21"/>
              </w:rPr>
              <w:t>/17819655496</w:t>
            </w:r>
          </w:p>
        </w:tc>
        <w:tc>
          <w:tcPr>
            <w:tcW w:w="1902" w:type="dxa"/>
            <w:vAlign w:val="center"/>
          </w:tcPr>
          <w:p w:rsidR="002B2129" w:rsidRPr="002B2129" w:rsidRDefault="002B2129" w:rsidP="002B212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 w:hint="eastAsia"/>
                <w:sz w:val="21"/>
                <w:szCs w:val="21"/>
              </w:rPr>
              <w:t>第十七条</w:t>
            </w:r>
          </w:p>
          <w:p w:rsidR="002B2129" w:rsidRPr="002B2129" w:rsidRDefault="002B2129" w:rsidP="002B212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 w:hint="eastAsia"/>
                <w:sz w:val="21"/>
                <w:szCs w:val="21"/>
              </w:rPr>
              <w:t>第三款</w:t>
            </w:r>
          </w:p>
        </w:tc>
        <w:tc>
          <w:tcPr>
            <w:tcW w:w="3827" w:type="dxa"/>
          </w:tcPr>
          <w:p w:rsidR="002B2129" w:rsidRPr="002B2129" w:rsidRDefault="002B2129" w:rsidP="002B2129">
            <w:pPr>
              <w:ind w:firstLineChars="200" w:firstLine="420"/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删去内容中关于由</w:t>
            </w:r>
            <w:proofErr w:type="gramStart"/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该涉路</w:t>
            </w:r>
            <w:proofErr w:type="gramEnd"/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施工项目的设计单位编制安评报告这一点</w:t>
            </w:r>
          </w:p>
        </w:tc>
        <w:tc>
          <w:tcPr>
            <w:tcW w:w="3626" w:type="dxa"/>
          </w:tcPr>
          <w:p w:rsidR="002B2129" w:rsidRPr="002B2129" w:rsidRDefault="002B2129" w:rsidP="0091012F">
            <w:pPr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像设计单位都不懂公路的标准，设计单位评自己的方案，肯定有隐瞒行为， 燃气油管项目危险大，近几年发生的案例很多，望三思而后行。要是出现事故谁来担责。</w:t>
            </w:r>
          </w:p>
        </w:tc>
        <w:tc>
          <w:tcPr>
            <w:tcW w:w="2693" w:type="dxa"/>
          </w:tcPr>
          <w:p w:rsidR="002B2129" w:rsidRPr="002B2129" w:rsidRDefault="002B2129" w:rsidP="0091012F">
            <w:pPr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部分采纳。结合国家“放管服”政策，一些小型</w:t>
            </w:r>
            <w:proofErr w:type="gramStart"/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的涉路施工</w:t>
            </w:r>
            <w:proofErr w:type="gramEnd"/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实施。</w:t>
            </w:r>
          </w:p>
        </w:tc>
        <w:tc>
          <w:tcPr>
            <w:tcW w:w="861" w:type="dxa"/>
          </w:tcPr>
          <w:p w:rsidR="002B2129" w:rsidRPr="002B2129" w:rsidRDefault="002B2129" w:rsidP="0091012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B2129" w:rsidRPr="002B2129" w:rsidTr="002B2129">
        <w:trPr>
          <w:trHeight w:val="3553"/>
        </w:trPr>
        <w:tc>
          <w:tcPr>
            <w:tcW w:w="817" w:type="dxa"/>
            <w:vAlign w:val="center"/>
          </w:tcPr>
          <w:p w:rsidR="002B2129" w:rsidRPr="002B2129" w:rsidRDefault="002B2129" w:rsidP="0091012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2B2129" w:rsidRPr="002B2129" w:rsidRDefault="002B2129" w:rsidP="002B212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郑先生</w:t>
            </w:r>
            <w:r w:rsidRPr="002B2129">
              <w:rPr>
                <w:rFonts w:asciiTheme="minorEastAsia" w:hAnsiTheme="minorEastAsia" w:cs="仿宋_GB2312"/>
                <w:sz w:val="21"/>
                <w:szCs w:val="21"/>
              </w:rPr>
              <w:t>/13631418457</w:t>
            </w:r>
          </w:p>
        </w:tc>
        <w:tc>
          <w:tcPr>
            <w:tcW w:w="1902" w:type="dxa"/>
            <w:vAlign w:val="center"/>
          </w:tcPr>
          <w:p w:rsidR="002B2129" w:rsidRPr="002B2129" w:rsidRDefault="002B2129" w:rsidP="002B212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第三十条</w:t>
            </w:r>
          </w:p>
        </w:tc>
        <w:tc>
          <w:tcPr>
            <w:tcW w:w="3827" w:type="dxa"/>
          </w:tcPr>
          <w:p w:rsidR="002B2129" w:rsidRPr="002B2129" w:rsidRDefault="002B2129" w:rsidP="002B2129">
            <w:pPr>
              <w:spacing w:line="300" w:lineRule="exact"/>
              <w:ind w:firstLineChars="200" w:firstLine="420"/>
              <w:jc w:val="left"/>
              <w:rPr>
                <w:rFonts w:asciiTheme="minorEastAsia" w:hAnsiTheme="minorEastAsia" w:cs="仿宋_GB2312"/>
                <w:sz w:val="21"/>
                <w:szCs w:val="21"/>
              </w:rPr>
            </w:pPr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根据第三十条【意见反馈】：“自接到征求意见函起十四个工作日内书面函复意见，不得随意附加条件，不得无故拖延。”并未提出公路管养单位（特别是高速公路的）逾期给书面函复意见应承担后果。</w:t>
            </w:r>
          </w:p>
          <w:p w:rsidR="002B2129" w:rsidRPr="002B2129" w:rsidRDefault="002B2129" w:rsidP="0091012F">
            <w:pPr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建议：1.应设置逾期给书面函复意见应承担后果或者十四工作日内回复，此意见为最终技术审查意见；2.高速管养单位的意见或者可以由交通厅设置OA审批流程，由交通厅路政处转发给高速管养单位，可以缩短申办许可时间。</w:t>
            </w:r>
          </w:p>
        </w:tc>
        <w:tc>
          <w:tcPr>
            <w:tcW w:w="3626" w:type="dxa"/>
          </w:tcPr>
          <w:p w:rsidR="002B2129" w:rsidRPr="002B2129" w:rsidRDefault="002B2129" w:rsidP="0091012F">
            <w:pPr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近年来，高速公司特别是广东省高速公路有限公司的管辖的路段养护部人员，素质极低，接到申请人申办</w:t>
            </w:r>
            <w:proofErr w:type="gramStart"/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涉路许可</w:t>
            </w:r>
            <w:proofErr w:type="gramEnd"/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的征求意见和申请材料，并未在规定的日期内回复意见，而且其内部技术审查流程甚多，先是三级单位养护部人员，然后</w:t>
            </w:r>
            <w:proofErr w:type="gramStart"/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再三级</w:t>
            </w:r>
            <w:proofErr w:type="gramEnd"/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单位养护部部长，再到省高的副总工，而且每个人给的审核意见均不太一样。单单征求管养单位的意见就得半年，与国家一直在坚持简政放权和放</w:t>
            </w:r>
            <w:proofErr w:type="gramStart"/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管服政策</w:t>
            </w:r>
            <w:proofErr w:type="gramEnd"/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相违背 。</w:t>
            </w:r>
          </w:p>
        </w:tc>
        <w:tc>
          <w:tcPr>
            <w:tcW w:w="2693" w:type="dxa"/>
          </w:tcPr>
          <w:p w:rsidR="002B2129" w:rsidRPr="002B2129" w:rsidRDefault="002B2129" w:rsidP="0091012F">
            <w:pPr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采纳。对于服务意识淡薄、人为设置障碍等情形的，厅将采取一系列工作措施加强监督，坚决杜绝。对于客观存在技术条件不符合、施工存在安全隐患的，厅将加强监督指导，依法依规依时办理许可。</w:t>
            </w:r>
          </w:p>
        </w:tc>
        <w:tc>
          <w:tcPr>
            <w:tcW w:w="861" w:type="dxa"/>
          </w:tcPr>
          <w:p w:rsidR="002B2129" w:rsidRPr="002B2129" w:rsidRDefault="002B2129" w:rsidP="0091012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B2129" w:rsidRPr="002B2129" w:rsidTr="002B2129">
        <w:trPr>
          <w:trHeight w:val="1477"/>
        </w:trPr>
        <w:tc>
          <w:tcPr>
            <w:tcW w:w="817" w:type="dxa"/>
            <w:vAlign w:val="center"/>
          </w:tcPr>
          <w:p w:rsidR="002B2129" w:rsidRPr="002B2129" w:rsidRDefault="002B2129" w:rsidP="0091012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:rsidR="002B2129" w:rsidRPr="002B2129" w:rsidRDefault="002B2129" w:rsidP="002B212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小朱</w:t>
            </w:r>
            <w:r w:rsidRPr="002B2129">
              <w:rPr>
                <w:rFonts w:asciiTheme="minorEastAsia" w:hAnsiTheme="minorEastAsia" w:cs="仿宋_GB2312"/>
                <w:sz w:val="21"/>
                <w:szCs w:val="21"/>
              </w:rPr>
              <w:t>/18819215931</w:t>
            </w:r>
          </w:p>
        </w:tc>
        <w:tc>
          <w:tcPr>
            <w:tcW w:w="1902" w:type="dxa"/>
            <w:vAlign w:val="center"/>
          </w:tcPr>
          <w:p w:rsidR="002B2129" w:rsidRDefault="002B2129" w:rsidP="002B2129">
            <w:pPr>
              <w:jc w:val="center"/>
              <w:rPr>
                <w:rFonts w:asciiTheme="minorEastAsia" w:hAnsiTheme="minorEastAsia" w:cs="仿宋_GB2312" w:hint="eastAsia"/>
                <w:sz w:val="21"/>
                <w:szCs w:val="21"/>
              </w:rPr>
            </w:pPr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第二十五条</w:t>
            </w:r>
          </w:p>
          <w:p w:rsidR="002B2129" w:rsidRPr="002B2129" w:rsidRDefault="002B2129" w:rsidP="002B2129">
            <w:pPr>
              <w:jc w:val="center"/>
              <w:rPr>
                <w:rFonts w:asciiTheme="minorEastAsia" w:hAnsiTheme="minorEastAsia" w:cs="仿宋_GB2312"/>
                <w:sz w:val="21"/>
                <w:szCs w:val="21"/>
              </w:rPr>
            </w:pPr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第二十六条</w:t>
            </w:r>
          </w:p>
          <w:p w:rsidR="002B2129" w:rsidRPr="002B2129" w:rsidRDefault="002B2129" w:rsidP="002B2129">
            <w:pPr>
              <w:jc w:val="center"/>
              <w:rPr>
                <w:rFonts w:asciiTheme="minorEastAsia" w:hAnsiTheme="minorEastAsia" w:cs="仿宋_GB2312"/>
                <w:sz w:val="21"/>
                <w:szCs w:val="21"/>
              </w:rPr>
            </w:pPr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第二十七条</w:t>
            </w:r>
          </w:p>
        </w:tc>
        <w:tc>
          <w:tcPr>
            <w:tcW w:w="3827" w:type="dxa"/>
          </w:tcPr>
          <w:p w:rsidR="002B2129" w:rsidRPr="002B2129" w:rsidRDefault="002B2129" w:rsidP="0091012F">
            <w:pPr>
              <w:spacing w:line="300" w:lineRule="exact"/>
              <w:jc w:val="left"/>
              <w:rPr>
                <w:rFonts w:asciiTheme="minorEastAsia" w:hAnsiTheme="minorEastAsia" w:cs="仿宋_GB2312"/>
                <w:sz w:val="21"/>
                <w:szCs w:val="21"/>
              </w:rPr>
            </w:pPr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1.应当规定技术审查的办结时限（建议7天内给出审查意见）。</w:t>
            </w:r>
          </w:p>
          <w:p w:rsidR="002B2129" w:rsidRPr="002B2129" w:rsidRDefault="002B2129" w:rsidP="0091012F">
            <w:pPr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2.技术审查的形式应简单快捷，建议技术审查与专家评审会整合。</w:t>
            </w:r>
          </w:p>
        </w:tc>
        <w:tc>
          <w:tcPr>
            <w:tcW w:w="3626" w:type="dxa"/>
          </w:tcPr>
          <w:p w:rsidR="002B2129" w:rsidRPr="002B2129" w:rsidRDefault="002B2129" w:rsidP="0091012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</w:tcPr>
          <w:p w:rsidR="002B2129" w:rsidRPr="002B2129" w:rsidRDefault="002B2129" w:rsidP="0091012F">
            <w:pPr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 w:hint="eastAsia"/>
                <w:sz w:val="21"/>
                <w:szCs w:val="21"/>
              </w:rPr>
              <w:t>1、采纳。已规定为14个工作日办结。</w:t>
            </w:r>
          </w:p>
          <w:p w:rsidR="002B2129" w:rsidRPr="002B2129" w:rsidRDefault="002B2129" w:rsidP="0091012F">
            <w:pPr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 w:hint="eastAsia"/>
                <w:sz w:val="21"/>
                <w:szCs w:val="21"/>
              </w:rPr>
              <w:t>2、采纳。</w:t>
            </w:r>
          </w:p>
        </w:tc>
        <w:tc>
          <w:tcPr>
            <w:tcW w:w="861" w:type="dxa"/>
          </w:tcPr>
          <w:p w:rsidR="002B2129" w:rsidRPr="002B2129" w:rsidRDefault="002B2129" w:rsidP="0091012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B2129" w:rsidRPr="002B2129" w:rsidTr="002B2129">
        <w:tc>
          <w:tcPr>
            <w:tcW w:w="817" w:type="dxa"/>
            <w:vAlign w:val="center"/>
          </w:tcPr>
          <w:p w:rsidR="002B2129" w:rsidRPr="002B2129" w:rsidRDefault="002B2129" w:rsidP="0091012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2B2129" w:rsidRPr="002B2129" w:rsidRDefault="002B2129" w:rsidP="002B212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小朱</w:t>
            </w:r>
            <w:r w:rsidRPr="002B2129">
              <w:rPr>
                <w:rFonts w:asciiTheme="minorEastAsia" w:hAnsiTheme="minorEastAsia" w:cs="仿宋_GB2312"/>
                <w:sz w:val="21"/>
                <w:szCs w:val="21"/>
              </w:rPr>
              <w:t>/18819215931</w:t>
            </w:r>
          </w:p>
        </w:tc>
        <w:tc>
          <w:tcPr>
            <w:tcW w:w="1902" w:type="dxa"/>
            <w:vAlign w:val="center"/>
          </w:tcPr>
          <w:p w:rsidR="002B2129" w:rsidRPr="002B2129" w:rsidRDefault="002B2129" w:rsidP="002B212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第十五条</w:t>
            </w:r>
          </w:p>
        </w:tc>
        <w:tc>
          <w:tcPr>
            <w:tcW w:w="3827" w:type="dxa"/>
          </w:tcPr>
          <w:p w:rsidR="002B2129" w:rsidRPr="002B2129" w:rsidRDefault="002B2129" w:rsidP="002B2129">
            <w:pPr>
              <w:ind w:firstLineChars="200" w:firstLine="420"/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第十五条【申请途径】 （针对</w:t>
            </w:r>
            <w:proofErr w:type="gramStart"/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高速公路涉路施工</w:t>
            </w:r>
            <w:proofErr w:type="gramEnd"/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项目）建议明确申请资料是否需要先报送至高速公路管理单位。</w:t>
            </w:r>
            <w:bookmarkStart w:id="0" w:name="_GoBack"/>
            <w:bookmarkEnd w:id="0"/>
          </w:p>
        </w:tc>
        <w:tc>
          <w:tcPr>
            <w:tcW w:w="3626" w:type="dxa"/>
          </w:tcPr>
          <w:p w:rsidR="002B2129" w:rsidRPr="002B2129" w:rsidRDefault="002B2129" w:rsidP="0091012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</w:tcPr>
          <w:p w:rsidR="002B2129" w:rsidRPr="002B2129" w:rsidRDefault="002B2129" w:rsidP="0091012F">
            <w:pPr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不采纳。无法律法规依据设置前置程序。</w:t>
            </w:r>
          </w:p>
        </w:tc>
        <w:tc>
          <w:tcPr>
            <w:tcW w:w="861" w:type="dxa"/>
          </w:tcPr>
          <w:p w:rsidR="002B2129" w:rsidRPr="002B2129" w:rsidRDefault="002B2129" w:rsidP="0091012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B2129" w:rsidRPr="002B2129" w:rsidTr="002B2129">
        <w:tc>
          <w:tcPr>
            <w:tcW w:w="817" w:type="dxa"/>
            <w:vAlign w:val="center"/>
          </w:tcPr>
          <w:p w:rsidR="002B2129" w:rsidRPr="002B2129" w:rsidRDefault="002B2129" w:rsidP="0091012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2B2129" w:rsidRPr="002B2129" w:rsidRDefault="002B2129" w:rsidP="002B212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小朱</w:t>
            </w:r>
            <w:r w:rsidRPr="002B2129">
              <w:rPr>
                <w:rFonts w:asciiTheme="minorEastAsia" w:hAnsiTheme="minorEastAsia" w:cs="仿宋_GB2312"/>
                <w:sz w:val="21"/>
                <w:szCs w:val="21"/>
              </w:rPr>
              <w:t>/18819215931</w:t>
            </w:r>
          </w:p>
        </w:tc>
        <w:tc>
          <w:tcPr>
            <w:tcW w:w="1902" w:type="dxa"/>
            <w:vAlign w:val="center"/>
          </w:tcPr>
          <w:p w:rsidR="002B2129" w:rsidRPr="002B2129" w:rsidRDefault="002B2129" w:rsidP="002B212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 w:hint="eastAsia"/>
                <w:sz w:val="21"/>
                <w:szCs w:val="21"/>
              </w:rPr>
              <w:t>第二十五条</w:t>
            </w:r>
          </w:p>
        </w:tc>
        <w:tc>
          <w:tcPr>
            <w:tcW w:w="3827" w:type="dxa"/>
          </w:tcPr>
          <w:p w:rsidR="002B2129" w:rsidRPr="002B2129" w:rsidRDefault="002B2129" w:rsidP="002B2129">
            <w:pPr>
              <w:ind w:firstLineChars="200" w:firstLine="420"/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第二十五条【技术审查】和第二十七条【专家评审】是否可以同时进行，并确定自申请之日起多少天内完成技术审查工作。</w:t>
            </w:r>
          </w:p>
        </w:tc>
        <w:tc>
          <w:tcPr>
            <w:tcW w:w="3626" w:type="dxa"/>
          </w:tcPr>
          <w:p w:rsidR="002B2129" w:rsidRPr="002B2129" w:rsidRDefault="002B2129" w:rsidP="0091012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</w:tcPr>
          <w:p w:rsidR="002B2129" w:rsidRPr="002B2129" w:rsidRDefault="002B2129" w:rsidP="0091012F">
            <w:pPr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采纳。可同时进行，也可以根据复杂程度单独实施专家评审。</w:t>
            </w:r>
          </w:p>
        </w:tc>
        <w:tc>
          <w:tcPr>
            <w:tcW w:w="861" w:type="dxa"/>
          </w:tcPr>
          <w:p w:rsidR="002B2129" w:rsidRPr="002B2129" w:rsidRDefault="002B2129" w:rsidP="0091012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B2129" w:rsidRPr="002B2129" w:rsidTr="002B2129">
        <w:tc>
          <w:tcPr>
            <w:tcW w:w="817" w:type="dxa"/>
            <w:vAlign w:val="center"/>
          </w:tcPr>
          <w:p w:rsidR="002B2129" w:rsidRPr="002B2129" w:rsidRDefault="002B2129" w:rsidP="0091012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2B2129" w:rsidRPr="002B2129" w:rsidRDefault="002B2129" w:rsidP="002B212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 w:hint="eastAsia"/>
                <w:sz w:val="21"/>
                <w:szCs w:val="21"/>
              </w:rPr>
              <w:t>小朱/18819215931</w:t>
            </w:r>
          </w:p>
        </w:tc>
        <w:tc>
          <w:tcPr>
            <w:tcW w:w="1902" w:type="dxa"/>
            <w:vAlign w:val="center"/>
          </w:tcPr>
          <w:p w:rsidR="002B2129" w:rsidRPr="002B2129" w:rsidRDefault="002B2129" w:rsidP="002B212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第二十六条</w:t>
            </w:r>
          </w:p>
        </w:tc>
        <w:tc>
          <w:tcPr>
            <w:tcW w:w="3827" w:type="dxa"/>
          </w:tcPr>
          <w:p w:rsidR="002B2129" w:rsidRPr="002B2129" w:rsidRDefault="002B2129" w:rsidP="002B2129">
            <w:pPr>
              <w:ind w:firstLineChars="200" w:firstLine="420"/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第二十六条【复杂项目】 哪些定义为重大复杂</w:t>
            </w:r>
            <w:proofErr w:type="gramStart"/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的涉路施工</w:t>
            </w:r>
            <w:proofErr w:type="gramEnd"/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活动？是否除了第十七所规定的小型</w:t>
            </w:r>
            <w:proofErr w:type="gramStart"/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非公路</w:t>
            </w:r>
            <w:proofErr w:type="gramEnd"/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标志、设计压力小于或等于0.4兆帕的油气管道、外径（含套管）小于或等于1米的给水及排水管道、小于或等于1千伏的电力线等</w:t>
            </w:r>
            <w:proofErr w:type="gramStart"/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小型涉路施工</w:t>
            </w:r>
            <w:proofErr w:type="gramEnd"/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活动外都属于？</w:t>
            </w:r>
          </w:p>
        </w:tc>
        <w:tc>
          <w:tcPr>
            <w:tcW w:w="3626" w:type="dxa"/>
          </w:tcPr>
          <w:p w:rsidR="002B2129" w:rsidRPr="002B2129" w:rsidRDefault="002B2129" w:rsidP="0091012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</w:tcPr>
          <w:p w:rsidR="002B2129" w:rsidRPr="002B2129" w:rsidRDefault="002B2129" w:rsidP="0091012F">
            <w:pPr>
              <w:spacing w:line="300" w:lineRule="exact"/>
              <w:jc w:val="left"/>
              <w:rPr>
                <w:rFonts w:asciiTheme="minorEastAsia" w:hAnsiTheme="minorEastAsia" w:cs="仿宋_GB2312"/>
                <w:sz w:val="21"/>
                <w:szCs w:val="21"/>
              </w:rPr>
            </w:pPr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采纳。已明确重大复杂</w:t>
            </w:r>
            <w:proofErr w:type="gramStart"/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的涉路施工</w:t>
            </w:r>
            <w:proofErr w:type="gramEnd"/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活动情形。</w:t>
            </w:r>
          </w:p>
          <w:p w:rsidR="002B2129" w:rsidRPr="002B2129" w:rsidRDefault="002B2129" w:rsidP="0091012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1" w:type="dxa"/>
          </w:tcPr>
          <w:p w:rsidR="002B2129" w:rsidRPr="002B2129" w:rsidRDefault="002B2129" w:rsidP="0091012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B2129" w:rsidRPr="002B2129" w:rsidTr="002B2129">
        <w:tc>
          <w:tcPr>
            <w:tcW w:w="817" w:type="dxa"/>
            <w:vAlign w:val="center"/>
          </w:tcPr>
          <w:p w:rsidR="002B2129" w:rsidRPr="002B2129" w:rsidRDefault="002B2129" w:rsidP="0091012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2B2129" w:rsidRPr="002B2129" w:rsidRDefault="002B2129" w:rsidP="002B212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郑先生</w:t>
            </w:r>
            <w:r w:rsidRPr="002B2129">
              <w:rPr>
                <w:rFonts w:asciiTheme="minorEastAsia" w:hAnsiTheme="minorEastAsia" w:cs="仿宋_GB2312"/>
                <w:sz w:val="21"/>
                <w:szCs w:val="21"/>
              </w:rPr>
              <w:t>/13631418457</w:t>
            </w:r>
          </w:p>
        </w:tc>
        <w:tc>
          <w:tcPr>
            <w:tcW w:w="1902" w:type="dxa"/>
            <w:vAlign w:val="center"/>
          </w:tcPr>
          <w:p w:rsidR="002B2129" w:rsidRPr="002B2129" w:rsidRDefault="002B2129" w:rsidP="002B212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第三十条</w:t>
            </w:r>
          </w:p>
        </w:tc>
        <w:tc>
          <w:tcPr>
            <w:tcW w:w="3827" w:type="dxa"/>
          </w:tcPr>
          <w:p w:rsidR="002B2129" w:rsidRPr="002B2129" w:rsidRDefault="002B2129" w:rsidP="002B2129">
            <w:pPr>
              <w:ind w:firstLineChars="200" w:firstLine="420"/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征求高速管养单位意见非常困难，高速管养单位并非许可审批主体，但是其技术审查意见流程复杂，希望由交通厅组织征求高速管养单位意见。</w:t>
            </w:r>
          </w:p>
        </w:tc>
        <w:tc>
          <w:tcPr>
            <w:tcW w:w="3626" w:type="dxa"/>
          </w:tcPr>
          <w:p w:rsidR="002B2129" w:rsidRPr="002B2129" w:rsidRDefault="002B2129" w:rsidP="0091012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</w:tcPr>
          <w:p w:rsidR="002B2129" w:rsidRPr="002B2129" w:rsidRDefault="002B2129" w:rsidP="0091012F">
            <w:pPr>
              <w:rPr>
                <w:rFonts w:asciiTheme="minorEastAsia" w:hAnsiTheme="minorEastAsia"/>
                <w:sz w:val="21"/>
                <w:szCs w:val="21"/>
              </w:rPr>
            </w:pPr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采纳。高速公路业主单位属于公路产权单位，</w:t>
            </w:r>
            <w:proofErr w:type="gramStart"/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涉路工程项目</w:t>
            </w:r>
            <w:proofErr w:type="gramEnd"/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建设单位在</w:t>
            </w:r>
            <w:proofErr w:type="gramStart"/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申报涉路施工</w:t>
            </w:r>
            <w:proofErr w:type="gramEnd"/>
            <w:r w:rsidRPr="002B2129">
              <w:rPr>
                <w:rFonts w:asciiTheme="minorEastAsia" w:hAnsiTheme="minorEastAsia" w:cs="仿宋_GB2312" w:hint="eastAsia"/>
                <w:sz w:val="21"/>
                <w:szCs w:val="21"/>
              </w:rPr>
              <w:t>活动前应与公路产权单位沟通衔接达成一致意见。就高速公路业主内部审核的要求，办法已作规定。</w:t>
            </w:r>
          </w:p>
        </w:tc>
        <w:tc>
          <w:tcPr>
            <w:tcW w:w="861" w:type="dxa"/>
          </w:tcPr>
          <w:p w:rsidR="002B2129" w:rsidRPr="002B2129" w:rsidRDefault="002B2129" w:rsidP="0091012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2B2129" w:rsidRPr="002B2129" w:rsidRDefault="002B2129" w:rsidP="002B2129">
      <w:pPr>
        <w:rPr>
          <w:rFonts w:asciiTheme="minorEastAsia" w:hAnsiTheme="minorEastAsia"/>
          <w:szCs w:val="21"/>
        </w:rPr>
      </w:pPr>
    </w:p>
    <w:sectPr w:rsidR="002B2129" w:rsidRPr="002B2129" w:rsidSect="002B21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2129"/>
    <w:rsid w:val="002B2129"/>
    <w:rsid w:val="003057AC"/>
    <w:rsid w:val="00FA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12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206</Words>
  <Characters>1180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政府版用户</dc:creator>
  <cp:lastModifiedBy>政府版用户</cp:lastModifiedBy>
  <cp:revision>1</cp:revision>
  <dcterms:created xsi:type="dcterms:W3CDTF">2022-12-23T09:09:00Z</dcterms:created>
  <dcterms:modified xsi:type="dcterms:W3CDTF">2022-12-23T09:21:00Z</dcterms:modified>
</cp:coreProperties>
</file>