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广东省船舶水污染物内河港口接收设施</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建设指南</w:t>
      </w:r>
    </w:p>
    <w:p>
      <w:pPr>
        <w:jc w:val="center"/>
        <w:rPr>
          <w:rFonts w:hint="eastAsia" w:ascii="黑体" w:hAnsi="黑体" w:eastAsia="黑体" w:cs="黑体"/>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本指南适用于本省行政辖区内河港口船舶水污染接收设施建设，靠泊内河船舶的沿海港口可参照本指南建设接收设施。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船舶水污染物包括船舶产生的生活垃圾、生活污水和含油污水。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2.规范性引用文件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下列文件对于本</w:t>
      </w:r>
      <w:r>
        <w:rPr>
          <w:rFonts w:hint="eastAsia"/>
          <w:sz w:val="24"/>
          <w:szCs w:val="24"/>
          <w:lang w:val="en-US" w:eastAsia="zh-CN"/>
        </w:rPr>
        <w:t>指南</w:t>
      </w:r>
      <w:r>
        <w:rPr>
          <w:rFonts w:hint="default"/>
          <w:sz w:val="24"/>
          <w:szCs w:val="24"/>
          <w:lang w:val="en-US" w:eastAsia="zh-CN"/>
        </w:rPr>
        <w:t>的应用是必不可少的。引用文件最新版本适用于本</w:t>
      </w:r>
      <w:r>
        <w:rPr>
          <w:rFonts w:hint="eastAsia"/>
          <w:sz w:val="24"/>
          <w:szCs w:val="24"/>
          <w:lang w:val="en-US" w:eastAsia="zh-CN"/>
        </w:rPr>
        <w:t>指南</w:t>
      </w:r>
      <w:r>
        <w:rPr>
          <w:rFonts w:hint="default"/>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GB</w:t>
      </w:r>
      <w:r>
        <w:rPr>
          <w:rFonts w:hint="eastAsia"/>
          <w:sz w:val="24"/>
          <w:szCs w:val="24"/>
          <w:lang w:val="en-US" w:eastAsia="zh-CN"/>
        </w:rPr>
        <w:t xml:space="preserve"> </w:t>
      </w:r>
      <w:r>
        <w:rPr>
          <w:rFonts w:hint="default"/>
          <w:sz w:val="24"/>
          <w:szCs w:val="24"/>
          <w:lang w:val="en-US" w:eastAsia="zh-CN"/>
        </w:rPr>
        <w:t>3552</w:t>
      </w:r>
      <w:r>
        <w:rPr>
          <w:rFonts w:hint="eastAsia"/>
          <w:sz w:val="24"/>
          <w:szCs w:val="24"/>
          <w:lang w:val="en-US" w:eastAsia="zh-CN"/>
        </w:rPr>
        <w:t xml:space="preserve"> </w:t>
      </w:r>
      <w:r>
        <w:rPr>
          <w:rFonts w:hint="default"/>
          <w:sz w:val="24"/>
          <w:szCs w:val="24"/>
          <w:lang w:val="en-US" w:eastAsia="zh-CN"/>
        </w:rPr>
        <w:t>船舶水污染物排放控制标准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GB 13851</w:t>
      </w:r>
      <w:r>
        <w:rPr>
          <w:rFonts w:hint="eastAsia"/>
          <w:sz w:val="24"/>
          <w:szCs w:val="24"/>
          <w:lang w:val="en-US" w:eastAsia="zh-CN"/>
        </w:rPr>
        <w:t xml:space="preserve"> </w:t>
      </w:r>
      <w:r>
        <w:rPr>
          <w:rFonts w:hint="default"/>
          <w:sz w:val="24"/>
          <w:szCs w:val="24"/>
          <w:lang w:val="en-US" w:eastAsia="zh-CN"/>
        </w:rPr>
        <w:t>内河交通安全标志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GB/T 19095</w:t>
      </w:r>
      <w:r>
        <w:rPr>
          <w:rFonts w:hint="eastAsia"/>
          <w:sz w:val="24"/>
          <w:szCs w:val="24"/>
          <w:lang w:val="en-US" w:eastAsia="zh-CN"/>
        </w:rPr>
        <w:t xml:space="preserve"> </w:t>
      </w:r>
      <w:r>
        <w:rPr>
          <w:rFonts w:hint="default"/>
          <w:sz w:val="24"/>
          <w:szCs w:val="24"/>
          <w:lang w:val="en-US" w:eastAsia="zh-CN"/>
        </w:rPr>
        <w:t>生活垃圾分类标志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GB/T 31962</w:t>
      </w:r>
      <w:r>
        <w:rPr>
          <w:rFonts w:hint="eastAsia"/>
          <w:sz w:val="24"/>
          <w:szCs w:val="24"/>
          <w:lang w:val="en-US" w:eastAsia="zh-CN"/>
        </w:rPr>
        <w:t xml:space="preserve"> </w:t>
      </w:r>
      <w:r>
        <w:rPr>
          <w:rFonts w:hint="default"/>
          <w:sz w:val="24"/>
          <w:szCs w:val="24"/>
          <w:lang w:val="en-US" w:eastAsia="zh-CN"/>
        </w:rPr>
        <w:t>污水排入城镇下水道水质标准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CJ/T280</w:t>
      </w:r>
      <w:r>
        <w:rPr>
          <w:rFonts w:hint="eastAsia"/>
          <w:sz w:val="24"/>
          <w:szCs w:val="24"/>
          <w:lang w:val="en-US" w:eastAsia="zh-CN"/>
        </w:rPr>
        <w:t xml:space="preserve"> </w:t>
      </w:r>
      <w:r>
        <w:rPr>
          <w:rFonts w:hint="default"/>
          <w:sz w:val="24"/>
          <w:szCs w:val="24"/>
          <w:lang w:val="en-US" w:eastAsia="zh-CN"/>
        </w:rPr>
        <w:t>塑料垃圾桶通用技术条件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JTS 149 水运工程环境保护设计规范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JTS/T 175</w:t>
      </w:r>
      <w:r>
        <w:rPr>
          <w:rFonts w:hint="eastAsia"/>
          <w:sz w:val="24"/>
          <w:szCs w:val="24"/>
          <w:lang w:val="en-US" w:eastAsia="zh-CN"/>
        </w:rPr>
        <w:t xml:space="preserve"> </w:t>
      </w:r>
      <w:r>
        <w:rPr>
          <w:rFonts w:hint="default"/>
          <w:sz w:val="24"/>
          <w:szCs w:val="24"/>
          <w:lang w:val="en-US" w:eastAsia="zh-CN"/>
        </w:rPr>
        <w:t>船舶水污染物内河港口岸上接收设施设计指南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DB4426</w:t>
      </w:r>
      <w:r>
        <w:rPr>
          <w:rFonts w:hint="eastAsia"/>
          <w:sz w:val="24"/>
          <w:szCs w:val="24"/>
          <w:lang w:val="en-US" w:eastAsia="zh-CN"/>
        </w:rPr>
        <w:t xml:space="preserve"> </w:t>
      </w:r>
      <w:r>
        <w:rPr>
          <w:rFonts w:hint="default"/>
          <w:sz w:val="24"/>
          <w:szCs w:val="24"/>
          <w:lang w:val="en-US" w:eastAsia="zh-CN"/>
        </w:rPr>
        <w:t>广东省地方标准水污染物排放限值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QB/T 4902 金属垃圾箱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default"/>
          <w:sz w:val="24"/>
          <w:szCs w:val="24"/>
          <w:lang w:val="en-US" w:eastAsia="zh-CN"/>
        </w:rPr>
        <w:t>内河船舶法定检验技术规则</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3.术语和定义</w:t>
      </w:r>
    </w:p>
    <w:p>
      <w:pPr>
        <w:spacing w:line="360" w:lineRule="auto"/>
        <w:rPr>
          <w:rFonts w:hint="eastAsia"/>
          <w:color w:val="auto"/>
          <w:sz w:val="24"/>
          <w:szCs w:val="24"/>
          <w:lang w:val="en-US" w:eastAsia="zh-CN"/>
        </w:rPr>
      </w:pPr>
      <w:r>
        <w:rPr>
          <w:rFonts w:hint="eastAsia"/>
          <w:color w:val="auto"/>
          <w:sz w:val="24"/>
          <w:szCs w:val="24"/>
          <w:lang w:val="en-US" w:eastAsia="zh-CN"/>
        </w:rPr>
        <w:t>3.1 船舶水污染物</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船舶产生的生活垃圾、生活污水和含油污水。</w:t>
      </w:r>
    </w:p>
    <w:p>
      <w:pPr>
        <w:spacing w:line="360" w:lineRule="auto"/>
        <w:rPr>
          <w:rFonts w:hint="eastAsia"/>
          <w:color w:val="auto"/>
          <w:sz w:val="24"/>
          <w:szCs w:val="24"/>
          <w:lang w:val="en-US" w:eastAsia="zh-CN"/>
        </w:rPr>
      </w:pPr>
      <w:r>
        <w:rPr>
          <w:rFonts w:hint="eastAsia"/>
          <w:color w:val="auto"/>
          <w:sz w:val="24"/>
          <w:szCs w:val="24"/>
          <w:lang w:val="en-US" w:eastAsia="zh-CN"/>
        </w:rPr>
        <w:t>3.2 船舶生活垃圾</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船舶上人员在日常生活中或者为日常生活提供服务的活动中产生的固体废物，以及法律法规规定的视为生活垃圾的固体废物。</w:t>
      </w:r>
    </w:p>
    <w:p>
      <w:pPr>
        <w:spacing w:line="360" w:lineRule="auto"/>
        <w:rPr>
          <w:rFonts w:hint="eastAsia"/>
          <w:color w:val="auto"/>
          <w:sz w:val="24"/>
          <w:szCs w:val="24"/>
          <w:lang w:val="en-US" w:eastAsia="zh-CN"/>
        </w:rPr>
      </w:pPr>
      <w:r>
        <w:rPr>
          <w:rFonts w:hint="eastAsia"/>
          <w:color w:val="auto"/>
          <w:sz w:val="24"/>
          <w:szCs w:val="24"/>
          <w:lang w:val="en-US" w:eastAsia="zh-CN"/>
        </w:rPr>
        <w:t>3.3 船舶生活污水</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船舶上主要由人员生活产生的污水，包括：任何形式的厕所的排出物和其他废物；医务室（药房、病房等）的洗手池、洗澡盆以及这些处所排水孔的排出物；装有活的动物处所的排出物；混有上述排出物或废物的其他污水。</w:t>
      </w:r>
    </w:p>
    <w:p>
      <w:pPr>
        <w:spacing w:line="360" w:lineRule="auto"/>
        <w:rPr>
          <w:rFonts w:hint="eastAsia"/>
          <w:color w:val="auto"/>
          <w:sz w:val="24"/>
          <w:szCs w:val="24"/>
          <w:lang w:val="en-US" w:eastAsia="zh-CN"/>
        </w:rPr>
      </w:pPr>
      <w:r>
        <w:rPr>
          <w:rFonts w:hint="eastAsia"/>
          <w:color w:val="auto"/>
          <w:sz w:val="24"/>
          <w:szCs w:val="24"/>
          <w:lang w:val="en-US" w:eastAsia="zh-CN"/>
        </w:rPr>
        <w:t>3.4 船舶含油污水</w:t>
      </w:r>
    </w:p>
    <w:p>
      <w:pPr>
        <w:spacing w:line="360" w:lineRule="auto"/>
        <w:ind w:firstLine="480" w:firstLineChars="200"/>
        <w:rPr>
          <w:rFonts w:hint="eastAsia" w:ascii="黑体" w:hAnsi="黑体" w:eastAsia="黑体" w:cs="黑体"/>
          <w:sz w:val="24"/>
          <w:szCs w:val="24"/>
          <w:lang w:val="en-US" w:eastAsia="zh-CN"/>
        </w:rPr>
      </w:pPr>
      <w:r>
        <w:rPr>
          <w:rFonts w:hint="eastAsia"/>
          <w:sz w:val="24"/>
          <w:szCs w:val="24"/>
          <w:lang w:val="en-US" w:eastAsia="zh-CN"/>
        </w:rPr>
        <w:t>船舶运营中机器处所产生的油污水。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4.总体要求</w:t>
      </w:r>
    </w:p>
    <w:p>
      <w:pPr>
        <w:spacing w:line="360" w:lineRule="auto"/>
        <w:rPr>
          <w:rFonts w:hint="eastAsia"/>
          <w:sz w:val="24"/>
          <w:szCs w:val="24"/>
          <w:lang w:val="en-US" w:eastAsia="zh-CN"/>
        </w:rPr>
      </w:pPr>
      <w:r>
        <w:rPr>
          <w:rFonts w:hint="eastAsia"/>
          <w:sz w:val="24"/>
          <w:szCs w:val="24"/>
          <w:lang w:val="en-US" w:eastAsia="zh-CN"/>
        </w:rPr>
        <w:t xml:space="preserve">4.1 </w:t>
      </w:r>
      <w:r>
        <w:rPr>
          <w:rFonts w:hint="default"/>
          <w:sz w:val="24"/>
          <w:szCs w:val="24"/>
          <w:lang w:val="en-US" w:eastAsia="zh-CN"/>
        </w:rPr>
        <w:t>内河港口</w:t>
      </w:r>
      <w:r>
        <w:rPr>
          <w:rFonts w:hint="eastAsia"/>
          <w:sz w:val="24"/>
          <w:szCs w:val="24"/>
          <w:lang w:val="en-US" w:eastAsia="zh-CN"/>
        </w:rPr>
        <w:t>码头应根据设计通过能力、泊位数量，结合码头的平面布置、作业条件、靠泊船型、转运频次等情况，合理确定建设规模、接收方式，建设船舶垃圾、生活污水和含油污水接收设施，满足靠港船舶的排放需求。</w:t>
      </w:r>
    </w:p>
    <w:p>
      <w:pPr>
        <w:spacing w:line="360" w:lineRule="auto"/>
        <w:rPr>
          <w:rFonts w:hint="eastAsia"/>
          <w:sz w:val="24"/>
          <w:szCs w:val="24"/>
          <w:lang w:val="en-US" w:eastAsia="zh-CN"/>
        </w:rPr>
      </w:pPr>
      <w:r>
        <w:rPr>
          <w:rFonts w:hint="eastAsia"/>
          <w:sz w:val="24"/>
          <w:szCs w:val="24"/>
          <w:lang w:val="en-US" w:eastAsia="zh-CN"/>
        </w:rPr>
        <w:t>4.2 接收设施应便于操作和检修，减少对码头装卸和操作的影响。</w:t>
      </w:r>
    </w:p>
    <w:p>
      <w:pPr>
        <w:spacing w:line="360" w:lineRule="auto"/>
        <w:rPr>
          <w:rFonts w:hint="eastAsia"/>
          <w:sz w:val="24"/>
          <w:szCs w:val="24"/>
          <w:lang w:val="en-US" w:eastAsia="zh-CN"/>
        </w:rPr>
      </w:pPr>
      <w:r>
        <w:rPr>
          <w:rFonts w:hint="eastAsia"/>
          <w:sz w:val="24"/>
          <w:szCs w:val="24"/>
          <w:lang w:val="en-US" w:eastAsia="zh-CN"/>
        </w:rPr>
        <w:t>4.3 接收设施应满足消防、安全、节能环保等相关法律法规和标准规范的要求。</w:t>
      </w:r>
    </w:p>
    <w:p>
      <w:pPr>
        <w:spacing w:line="360" w:lineRule="auto"/>
        <w:rPr>
          <w:rFonts w:hint="eastAsia"/>
          <w:sz w:val="24"/>
          <w:szCs w:val="24"/>
          <w:lang w:val="en-US" w:eastAsia="zh-CN"/>
        </w:rPr>
      </w:pPr>
      <w:r>
        <w:rPr>
          <w:rFonts w:hint="eastAsia"/>
          <w:sz w:val="24"/>
          <w:szCs w:val="24"/>
          <w:lang w:val="en-US" w:eastAsia="zh-CN"/>
        </w:rPr>
        <w:t>4.4 接收设施应</w:t>
      </w:r>
      <w:r>
        <w:rPr>
          <w:rFonts w:hint="eastAsia"/>
          <w:color w:val="auto"/>
          <w:sz w:val="24"/>
          <w:szCs w:val="24"/>
          <w:lang w:val="en-US" w:eastAsia="zh-CN"/>
        </w:rPr>
        <w:t>在</w:t>
      </w:r>
      <w:r>
        <w:rPr>
          <w:rFonts w:hint="eastAsia"/>
          <w:sz w:val="24"/>
          <w:szCs w:val="24"/>
          <w:lang w:val="en-US" w:eastAsia="zh-CN"/>
        </w:rPr>
        <w:t>醒目位置设置标识牌，标识牌应符合GB 13851的有关规定，其内容宜包括设施名称（船舶×××接收点）、可接收的污染物类型、联系方式（联系人及电话）、联单系统二维码等。</w:t>
      </w:r>
    </w:p>
    <w:p>
      <w:pPr>
        <w:spacing w:line="360" w:lineRule="auto"/>
        <w:rPr>
          <w:rFonts w:hint="default"/>
          <w:sz w:val="24"/>
          <w:szCs w:val="24"/>
          <w:lang w:val="en-US" w:eastAsia="zh-CN"/>
        </w:rPr>
      </w:pPr>
      <w:r>
        <w:rPr>
          <w:rFonts w:hint="eastAsia"/>
          <w:sz w:val="24"/>
          <w:szCs w:val="24"/>
          <w:lang w:val="en-US" w:eastAsia="zh-CN"/>
        </w:rPr>
        <w:t>4.5 接收设施的建设运行应纳入全省船舶水污染物监测平台。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5.船舶生活垃圾接收设施建设要求</w:t>
      </w:r>
    </w:p>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5.1一般要求</w:t>
      </w:r>
    </w:p>
    <w:p>
      <w:pPr>
        <w:spacing w:line="360" w:lineRule="auto"/>
        <w:rPr>
          <w:rFonts w:hint="eastAsia"/>
          <w:sz w:val="24"/>
          <w:szCs w:val="24"/>
          <w:lang w:val="en-US" w:eastAsia="zh-CN"/>
        </w:rPr>
      </w:pPr>
      <w:r>
        <w:rPr>
          <w:rFonts w:hint="eastAsia"/>
          <w:sz w:val="24"/>
          <w:szCs w:val="24"/>
          <w:lang w:val="en-US" w:eastAsia="zh-CN"/>
        </w:rPr>
        <w:t>5.1.1 船舶生活垃圾接收设施配置应符合 GB/T 19095 或港口所在地有关垃圾分类要求。</w:t>
      </w:r>
    </w:p>
    <w:p>
      <w:pPr>
        <w:spacing w:line="360" w:lineRule="auto"/>
        <w:rPr>
          <w:rFonts w:hint="eastAsia"/>
          <w:sz w:val="24"/>
          <w:szCs w:val="24"/>
          <w:lang w:val="en-US" w:eastAsia="zh-CN"/>
        </w:rPr>
      </w:pPr>
      <w:r>
        <w:rPr>
          <w:rFonts w:hint="eastAsia"/>
          <w:sz w:val="24"/>
          <w:szCs w:val="24"/>
          <w:lang w:val="en-US" w:eastAsia="zh-CN"/>
        </w:rPr>
        <w:t>5.1.2垃圾桶宜选用塑料、金属等材质。对于垃圾桶的结构、外观、容积、尺寸、厚度、材料、机械性能、抗渗漏性能等要求，塑料垃圾桶宜满足CJ/T280的要求，金属垃圾箱宜满足 QB/T 4902 的要求。</w:t>
      </w:r>
    </w:p>
    <w:p>
      <w:pPr>
        <w:spacing w:line="360" w:lineRule="auto"/>
        <w:rPr>
          <w:rFonts w:hint="eastAsia"/>
          <w:sz w:val="24"/>
          <w:szCs w:val="24"/>
          <w:lang w:val="en-US" w:eastAsia="zh-CN"/>
        </w:rPr>
      </w:pPr>
      <w:r>
        <w:rPr>
          <w:rFonts w:hint="eastAsia"/>
          <w:sz w:val="24"/>
          <w:szCs w:val="24"/>
          <w:lang w:val="en-US" w:eastAsia="zh-CN"/>
        </w:rPr>
        <w:t>5.1.3</w:t>
      </w:r>
      <w:r>
        <w:rPr>
          <w:rFonts w:hint="eastAsia"/>
          <w:sz w:val="24"/>
          <w:szCs w:val="24"/>
          <w:lang w:eastAsia="zh-CN"/>
        </w:rPr>
        <w:t>设置垃圾桶时，每套垃圾桶宜包括4个分类垃圾桶（分可回收物、有害垃圾、厨余垃圾、其他垃圾四类），容积可按照接收量确定，</w:t>
      </w:r>
      <w:r>
        <w:rPr>
          <w:rFonts w:hint="eastAsia"/>
          <w:sz w:val="24"/>
          <w:szCs w:val="24"/>
          <w:lang w:val="en-US" w:eastAsia="zh-CN"/>
        </w:rPr>
        <w:t>每个垃圾桶</w:t>
      </w:r>
      <w:r>
        <w:rPr>
          <w:rFonts w:hint="eastAsia"/>
          <w:sz w:val="24"/>
          <w:szCs w:val="24"/>
          <w:lang w:eastAsia="zh-CN"/>
        </w:rPr>
        <w:t>不宜小于120L。容积宜选用</w:t>
      </w:r>
      <w:r>
        <w:rPr>
          <w:rFonts w:hint="eastAsia"/>
          <w:sz w:val="24"/>
          <w:szCs w:val="24"/>
          <w:lang w:val="en-US" w:eastAsia="zh-CN"/>
        </w:rPr>
        <w:t>120L或240L两种。</w:t>
      </w:r>
    </w:p>
    <w:p>
      <w:pPr>
        <w:spacing w:line="360" w:lineRule="auto"/>
        <w:rPr>
          <w:rFonts w:hint="eastAsia"/>
          <w:sz w:val="24"/>
          <w:szCs w:val="24"/>
          <w:lang w:val="en-US" w:eastAsia="zh-CN"/>
        </w:rPr>
      </w:pPr>
      <w:r>
        <w:rPr>
          <w:rFonts w:hint="eastAsia"/>
          <w:sz w:val="24"/>
          <w:szCs w:val="24"/>
          <w:lang w:val="en-US" w:eastAsia="zh-CN"/>
        </w:rPr>
        <w:t>5.1.4根据地域条件，港口企业可自主选择设置垃圾棚（亭），宜选择美观、耐用、易清洁的可循环利用环保材料制作，配套良好的照明设备，照明设备宜使用感应开关或定时开关以节约能源。</w:t>
      </w:r>
    </w:p>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textAlignment w:val="auto"/>
        <w:rPr>
          <w:rFonts w:hint="default"/>
          <w:sz w:val="24"/>
          <w:szCs w:val="24"/>
          <w:lang w:val="en-US" w:eastAsia="zh-CN"/>
        </w:rPr>
      </w:pPr>
      <w:r>
        <w:rPr>
          <w:rFonts w:hint="eastAsia" w:ascii="黑体" w:hAnsi="黑体" w:eastAsia="黑体" w:cs="黑体"/>
          <w:sz w:val="24"/>
          <w:szCs w:val="24"/>
          <w:lang w:val="en-US" w:eastAsia="zh-CN"/>
        </w:rPr>
        <w:t>5.2设施建设要求</w:t>
      </w:r>
    </w:p>
    <w:p>
      <w:pPr>
        <w:spacing w:line="360" w:lineRule="auto"/>
        <w:rPr>
          <w:rFonts w:hint="eastAsia"/>
          <w:sz w:val="24"/>
          <w:szCs w:val="24"/>
          <w:lang w:val="en-US" w:eastAsia="zh-CN"/>
        </w:rPr>
      </w:pPr>
      <w:r>
        <w:rPr>
          <w:rFonts w:hint="eastAsia"/>
          <w:sz w:val="24"/>
          <w:szCs w:val="24"/>
          <w:lang w:val="en-US" w:eastAsia="zh-CN"/>
        </w:rPr>
        <w:t>5.2.1</w:t>
      </w:r>
      <w:r>
        <w:rPr>
          <w:rFonts w:hint="default"/>
          <w:sz w:val="24"/>
          <w:szCs w:val="24"/>
          <w:lang w:val="en-US" w:eastAsia="zh-CN"/>
        </w:rPr>
        <w:t>内河港口码头</w:t>
      </w:r>
      <w:r>
        <w:rPr>
          <w:rFonts w:hint="eastAsia"/>
          <w:sz w:val="24"/>
          <w:szCs w:val="24"/>
          <w:lang w:val="en-US" w:eastAsia="zh-CN"/>
        </w:rPr>
        <w:t>应</w:t>
      </w:r>
      <w:r>
        <w:rPr>
          <w:rFonts w:hint="default"/>
          <w:sz w:val="24"/>
          <w:szCs w:val="24"/>
          <w:lang w:val="en-US" w:eastAsia="zh-CN"/>
        </w:rPr>
        <w:t>至少配备1套垃圾桶，</w:t>
      </w:r>
      <w:r>
        <w:rPr>
          <w:rFonts w:hint="eastAsia"/>
          <w:sz w:val="24"/>
          <w:szCs w:val="24"/>
          <w:lang w:val="en-US" w:eastAsia="zh-CN"/>
        </w:rPr>
        <w:t>泊位数量超过3个的港口码头企业可考虑适当增加垃圾桶套数。</w:t>
      </w:r>
    </w:p>
    <w:p>
      <w:pPr>
        <w:spacing w:line="360" w:lineRule="auto"/>
        <w:jc w:val="both"/>
        <w:rPr>
          <w:rFonts w:hint="eastAsia" w:ascii="黑体" w:hAnsi="黑体" w:eastAsia="黑体" w:cs="黑体"/>
          <w:lang w:val="en-US" w:eastAsia="zh-CN"/>
        </w:rPr>
      </w:pPr>
      <w:r>
        <w:rPr>
          <w:rFonts w:hint="eastAsia"/>
          <w:sz w:val="24"/>
          <w:szCs w:val="24"/>
          <w:lang w:val="en-US" w:eastAsia="zh-CN"/>
        </w:rPr>
        <w:t>5.2.2内河港口码头垃圾接收设施的容积应根据码头泊位设计通过能力确定，综合考虑码头泊位数量、靠泊船型、转运频次，不宜低于表1要求。</w:t>
      </w:r>
    </w:p>
    <w:p>
      <w:pPr>
        <w:jc w:val="center"/>
        <w:rPr>
          <w:rFonts w:hint="eastAsia" w:ascii="黑体" w:hAnsi="黑体" w:eastAsia="黑体" w:cs="黑体"/>
          <w:lang w:val="en-US" w:eastAsia="zh-CN"/>
        </w:rPr>
      </w:pPr>
      <w:r>
        <w:rPr>
          <w:rFonts w:hint="eastAsia" w:ascii="黑体" w:hAnsi="黑体" w:eastAsia="黑体" w:cs="黑体"/>
          <w:lang w:val="en-US" w:eastAsia="zh-CN"/>
        </w:rPr>
        <w:t>表1 内河港口码头企业船舶生活垃圾接收设施建设要求</w:t>
      </w:r>
    </w:p>
    <w:tbl>
      <w:tblPr>
        <w:tblStyle w:val="6"/>
        <w:tblW w:w="8686"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934"/>
        <w:gridCol w:w="2367"/>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6" w:type="dxa"/>
            <w:vMerge w:val="restart"/>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接收设施</w:t>
            </w:r>
          </w:p>
        </w:tc>
        <w:tc>
          <w:tcPr>
            <w:tcW w:w="7070" w:type="dxa"/>
            <w:gridSpan w:val="3"/>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6" w:type="dxa"/>
            <w:vMerge w:val="continue"/>
            <w:vAlign w:val="center"/>
          </w:tcPr>
          <w:p>
            <w:pPr>
              <w:jc w:val="center"/>
              <w:rPr>
                <w:rFonts w:hint="default" w:ascii="Times New Roman" w:hAnsi="Times New Roman" w:cs="Times New Roman"/>
                <w:b/>
                <w:bCs/>
                <w:vertAlign w:val="baseline"/>
                <w:lang w:val="en-US" w:eastAsia="zh-CN"/>
              </w:rPr>
            </w:pPr>
          </w:p>
        </w:tc>
        <w:tc>
          <w:tcPr>
            <w:tcW w:w="1934" w:type="dxa"/>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设计通过能力P≤</w:t>
            </w:r>
            <w:r>
              <w:rPr>
                <w:rFonts w:hint="eastAsia" w:ascii="Times New Roman" w:hAnsi="Times New Roman" w:cs="Times New Roman"/>
                <w:b/>
                <w:bCs/>
                <w:vertAlign w:val="baseline"/>
                <w:lang w:val="en-US" w:eastAsia="zh-CN"/>
              </w:rPr>
              <w:t>50</w:t>
            </w:r>
            <w:r>
              <w:rPr>
                <w:rFonts w:hint="default" w:ascii="Times New Roman" w:hAnsi="Times New Roman" w:cs="Times New Roman"/>
                <w:b/>
                <w:bCs/>
                <w:vertAlign w:val="baseline"/>
                <w:lang w:val="en-US" w:eastAsia="zh-CN"/>
              </w:rPr>
              <w:t>万吨</w:t>
            </w:r>
          </w:p>
        </w:tc>
        <w:tc>
          <w:tcPr>
            <w:tcW w:w="2367" w:type="dxa"/>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设计通过能力50＜P≤100万吨</w:t>
            </w:r>
          </w:p>
        </w:tc>
        <w:tc>
          <w:tcPr>
            <w:tcW w:w="2769" w:type="dxa"/>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设计通过能力P﹥</w:t>
            </w:r>
            <w:r>
              <w:rPr>
                <w:rFonts w:hint="eastAsia" w:ascii="Times New Roman" w:hAnsi="Times New Roman" w:cs="Times New Roman"/>
                <w:b/>
                <w:bCs/>
                <w:vertAlign w:val="baseline"/>
                <w:lang w:val="en-US" w:eastAsia="zh-CN"/>
              </w:rPr>
              <w:t>1</w:t>
            </w:r>
            <w:r>
              <w:rPr>
                <w:rFonts w:hint="default" w:ascii="Times New Roman" w:hAnsi="Times New Roman" w:cs="Times New Roman"/>
                <w:b/>
                <w:bCs/>
                <w:vertAlign w:val="baseline"/>
                <w:lang w:val="en-US" w:eastAsia="zh-CN"/>
              </w:rPr>
              <w:t>00万吨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6"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需要120L垃圾桶数量（套）</w:t>
            </w:r>
          </w:p>
        </w:tc>
        <w:tc>
          <w:tcPr>
            <w:tcW w:w="1934"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2367"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2769"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6"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需要240L垃圾桶数量（套）</w:t>
            </w:r>
          </w:p>
        </w:tc>
        <w:tc>
          <w:tcPr>
            <w:tcW w:w="1934"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2367"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2769"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6" w:type="dxa"/>
            <w:gridSpan w:val="4"/>
            <w:vAlign w:val="center"/>
          </w:tcPr>
          <w:p>
            <w:p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注：</w:t>
            </w:r>
          </w:p>
          <w:p>
            <w:pPr>
              <w:numPr>
                <w:ilvl w:val="0"/>
                <w:numId w:val="1"/>
              </w:numPr>
              <w:jc w:val="both"/>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企业可</w:t>
            </w:r>
            <w:r>
              <w:rPr>
                <w:rFonts w:hint="default" w:ascii="Times New Roman" w:hAnsi="Times New Roman" w:cs="Times New Roman"/>
                <w:lang w:eastAsia="zh-CN"/>
              </w:rPr>
              <w:t>选用容积</w:t>
            </w:r>
            <w:r>
              <w:rPr>
                <w:rFonts w:hint="default" w:ascii="Times New Roman" w:hAnsi="Times New Roman" w:cs="Times New Roman"/>
                <w:lang w:val="en-US" w:eastAsia="zh-CN"/>
              </w:rPr>
              <w:t>120L或240L两种规格的垃圾桶。</w:t>
            </w:r>
          </w:p>
          <w:p>
            <w:pPr>
              <w:numPr>
                <w:ilvl w:val="0"/>
                <w:numId w:val="1"/>
              </w:numPr>
              <w:jc w:val="both"/>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需额外配置一套电子称重装置。</w:t>
            </w:r>
          </w:p>
          <w:p>
            <w:p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3</w:t>
            </w:r>
            <w:r>
              <w:rPr>
                <w:rFonts w:hint="default" w:ascii="Times New Roman" w:hAnsi="Times New Roman" w:cs="Times New Roman"/>
                <w:vertAlign w:val="baseline"/>
                <w:lang w:val="en-US" w:eastAsia="zh-CN"/>
              </w:rPr>
              <w:t>）船舶生活垃圾接收点应</w:t>
            </w:r>
            <w:r>
              <w:rPr>
                <w:rFonts w:hint="eastAsia" w:ascii="Times New Roman" w:hAnsi="Times New Roman" w:cs="Times New Roman"/>
                <w:vertAlign w:val="baseline"/>
                <w:lang w:val="en-US" w:eastAsia="zh-CN"/>
              </w:rPr>
              <w:t>在醒目位置设置</w:t>
            </w:r>
            <w:r>
              <w:rPr>
                <w:rFonts w:hint="default" w:ascii="Times New Roman" w:hAnsi="Times New Roman" w:cs="Times New Roman"/>
                <w:vertAlign w:val="baseline"/>
                <w:lang w:val="en-US" w:eastAsia="zh-CN"/>
              </w:rPr>
              <w:t>标识牌，需在标识牌上张贴联单系统二维码。</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6.船舶生活污水接收设施建设要求</w:t>
      </w:r>
    </w:p>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6.1一般要求</w:t>
      </w:r>
    </w:p>
    <w:p>
      <w:pPr>
        <w:spacing w:line="360" w:lineRule="auto"/>
        <w:rPr>
          <w:rFonts w:hint="eastAsia"/>
          <w:sz w:val="24"/>
          <w:szCs w:val="24"/>
          <w:lang w:val="en-US" w:eastAsia="zh-CN"/>
        </w:rPr>
      </w:pPr>
      <w:r>
        <w:rPr>
          <w:rFonts w:hint="eastAsia"/>
          <w:sz w:val="24"/>
          <w:szCs w:val="24"/>
          <w:lang w:val="en-US" w:eastAsia="zh-CN"/>
        </w:rPr>
        <w:t>6.1.1内河码头应配备岸上船舶生活污水接收设施。接收设施应包含船岸连接和接口设备，根据需要可选择配置污水罐（池）、槽车和预处理设施等。</w:t>
      </w:r>
    </w:p>
    <w:p>
      <w:pPr>
        <w:spacing w:line="360" w:lineRule="auto"/>
        <w:rPr>
          <w:rFonts w:hint="eastAsia"/>
          <w:sz w:val="24"/>
          <w:szCs w:val="24"/>
          <w:lang w:val="en-US" w:eastAsia="zh-CN"/>
        </w:rPr>
      </w:pPr>
      <w:r>
        <w:rPr>
          <w:rFonts w:hint="eastAsia"/>
          <w:sz w:val="24"/>
          <w:szCs w:val="24"/>
          <w:lang w:val="en-US" w:eastAsia="zh-CN"/>
        </w:rPr>
        <w:t>6.1.2 船舶生活污水接收上岸后，应优先接入市政污水管网或污水处理设施。接收的船舶生活污水水质不具备直接接入市政污水管网或污水处理设施条件时，需设置预处理设施。</w:t>
      </w:r>
    </w:p>
    <w:p>
      <w:pPr>
        <w:spacing w:line="360" w:lineRule="auto"/>
        <w:rPr>
          <w:rFonts w:hint="eastAsia"/>
          <w:sz w:val="24"/>
          <w:szCs w:val="24"/>
          <w:lang w:val="en-US" w:eastAsia="zh-CN"/>
        </w:rPr>
      </w:pPr>
      <w:r>
        <w:rPr>
          <w:rFonts w:hint="eastAsia"/>
          <w:sz w:val="24"/>
          <w:szCs w:val="24"/>
          <w:lang w:val="en-US" w:eastAsia="zh-CN"/>
        </w:rPr>
        <w:t>6.1.3 泊位数量多、岸线长的港口码头企业，宜选用槽车接收转运船舶生活污水。</w:t>
      </w:r>
    </w:p>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6.2设施建设要求</w:t>
      </w:r>
    </w:p>
    <w:p>
      <w:pPr>
        <w:spacing w:line="360" w:lineRule="auto"/>
        <w:rPr>
          <w:rFonts w:hint="eastAsia"/>
          <w:sz w:val="24"/>
          <w:szCs w:val="24"/>
          <w:lang w:val="en-US" w:eastAsia="zh-CN"/>
        </w:rPr>
      </w:pPr>
      <w:r>
        <w:rPr>
          <w:rFonts w:hint="eastAsia"/>
          <w:sz w:val="24"/>
          <w:szCs w:val="24"/>
          <w:lang w:val="en-US" w:eastAsia="zh-CN"/>
        </w:rPr>
        <w:t>6.2.1船岸连接和接口设备应符合下列规定。</w:t>
      </w:r>
    </w:p>
    <w:p>
      <w:pPr>
        <w:spacing w:line="360" w:lineRule="auto"/>
        <w:rPr>
          <w:rFonts w:hint="eastAsia"/>
          <w:sz w:val="24"/>
          <w:szCs w:val="24"/>
          <w:lang w:val="en-US" w:eastAsia="zh-CN"/>
        </w:rPr>
      </w:pPr>
      <w:r>
        <w:rPr>
          <w:rFonts w:hint="eastAsia"/>
          <w:sz w:val="24"/>
          <w:szCs w:val="24"/>
          <w:lang w:val="en-US" w:eastAsia="zh-CN"/>
        </w:rPr>
        <w:t>6.2.1.1 船岸连接和接口设备包括接收接头、接收软管、污水提升泵和流量计。</w:t>
      </w:r>
    </w:p>
    <w:p>
      <w:pPr>
        <w:spacing w:line="360" w:lineRule="auto"/>
        <w:rPr>
          <w:rFonts w:hint="eastAsia"/>
          <w:sz w:val="24"/>
          <w:szCs w:val="24"/>
          <w:lang w:val="en-US" w:eastAsia="zh-CN"/>
        </w:rPr>
      </w:pPr>
      <w:r>
        <w:rPr>
          <w:rFonts w:hint="eastAsia"/>
          <w:sz w:val="24"/>
          <w:szCs w:val="24"/>
          <w:lang w:val="en-US" w:eastAsia="zh-CN"/>
        </w:rPr>
        <w:t>6.2.1.2 船岸连接和接口设备应符合JTS/T 175、内河船舶法定检验技术规则（2019）的有关规定。</w:t>
      </w:r>
    </w:p>
    <w:p>
      <w:pPr>
        <w:spacing w:line="360" w:lineRule="auto"/>
        <w:rPr>
          <w:rFonts w:hint="eastAsia"/>
          <w:sz w:val="24"/>
          <w:szCs w:val="24"/>
          <w:lang w:val="en-US" w:eastAsia="zh-CN"/>
        </w:rPr>
      </w:pPr>
      <w:r>
        <w:rPr>
          <w:rFonts w:hint="eastAsia"/>
          <w:sz w:val="24"/>
          <w:szCs w:val="24"/>
          <w:lang w:val="en-US" w:eastAsia="zh-CN"/>
        </w:rPr>
        <w:t>6.2.1.3接收软管应配备截止阀，在接收生活污水后及时关闭，避免对水域二次污染。</w:t>
      </w:r>
    </w:p>
    <w:p>
      <w:pPr>
        <w:spacing w:line="360" w:lineRule="auto"/>
        <w:rPr>
          <w:rFonts w:hint="eastAsia"/>
          <w:sz w:val="24"/>
          <w:szCs w:val="24"/>
          <w:lang w:val="en-US" w:eastAsia="zh-CN"/>
        </w:rPr>
      </w:pPr>
      <w:r>
        <w:rPr>
          <w:rFonts w:hint="eastAsia"/>
          <w:sz w:val="24"/>
          <w:szCs w:val="24"/>
          <w:lang w:val="en-US" w:eastAsia="zh-CN"/>
        </w:rPr>
        <w:t>6.2.1.4 污水提升泵应具备自吸功能，扬程应综合考虑提升高度、管路系统水头损失和不小于2m的富裕水头等因素确定，自吸高度和扬程</w:t>
      </w:r>
      <w:r>
        <w:rPr>
          <w:rFonts w:hint="eastAsia" w:asciiTheme="minorEastAsia" w:hAnsiTheme="minorEastAsia" w:cstheme="minorEastAsia"/>
          <w:sz w:val="24"/>
          <w:szCs w:val="24"/>
          <w:vertAlign w:val="baseline"/>
          <w:lang w:val="en-US" w:eastAsia="zh-CN"/>
        </w:rPr>
        <w:t>应能够满足船舶生活污水上岸的要求</w:t>
      </w:r>
      <w:r>
        <w:rPr>
          <w:rFonts w:hint="eastAsia"/>
          <w:sz w:val="24"/>
          <w:szCs w:val="24"/>
          <w:lang w:val="en-US" w:eastAsia="zh-CN"/>
        </w:rPr>
        <w:t>。</w:t>
      </w:r>
    </w:p>
    <w:p>
      <w:pPr>
        <w:spacing w:line="360" w:lineRule="auto"/>
        <w:rPr>
          <w:rFonts w:hint="eastAsia"/>
          <w:sz w:val="24"/>
          <w:szCs w:val="24"/>
          <w:lang w:val="en-US" w:eastAsia="zh-CN"/>
        </w:rPr>
      </w:pPr>
      <w:r>
        <w:rPr>
          <w:rFonts w:hint="eastAsia"/>
          <w:sz w:val="24"/>
          <w:szCs w:val="24"/>
          <w:lang w:val="en-US" w:eastAsia="zh-CN"/>
        </w:rPr>
        <w:t>6.2.1.5 流量计安装在接收软管与污水罐（池）、槽车连接的端口。</w:t>
      </w:r>
    </w:p>
    <w:p>
      <w:pPr>
        <w:spacing w:line="360" w:lineRule="auto"/>
        <w:rPr>
          <w:rFonts w:hint="eastAsia"/>
          <w:sz w:val="24"/>
          <w:szCs w:val="24"/>
          <w:lang w:val="en-US" w:eastAsia="zh-CN"/>
        </w:rPr>
      </w:pPr>
      <w:r>
        <w:rPr>
          <w:rFonts w:hint="eastAsia"/>
          <w:sz w:val="24"/>
          <w:szCs w:val="24"/>
          <w:lang w:val="en-US" w:eastAsia="zh-CN"/>
        </w:rPr>
        <w:t>6.2.2 船舶生活污水接收设施应符合下列规定。</w:t>
      </w:r>
    </w:p>
    <w:p>
      <w:pPr>
        <w:spacing w:line="360" w:lineRule="auto"/>
        <w:rPr>
          <w:rFonts w:hint="eastAsia"/>
          <w:sz w:val="24"/>
          <w:szCs w:val="24"/>
          <w:lang w:val="en-US" w:eastAsia="zh-CN"/>
        </w:rPr>
      </w:pPr>
      <w:r>
        <w:rPr>
          <w:rFonts w:hint="eastAsia"/>
          <w:sz w:val="24"/>
          <w:szCs w:val="24"/>
          <w:lang w:val="en-US" w:eastAsia="zh-CN"/>
        </w:rPr>
        <w:t>6.2.2.1内河港口码头污水罐（池）、槽车的容积应根据码头泊位设计通过能力确定，综合考虑靠泊船型、转运频次，不宜低于表2要求。</w:t>
      </w:r>
    </w:p>
    <w:p>
      <w:pPr>
        <w:jc w:val="center"/>
        <w:rPr>
          <w:rFonts w:hint="eastAsia" w:ascii="黑体" w:hAnsi="黑体" w:eastAsia="黑体" w:cs="黑体"/>
          <w:lang w:val="en-US" w:eastAsia="zh-CN"/>
        </w:rPr>
      </w:pPr>
      <w:r>
        <w:rPr>
          <w:rFonts w:hint="eastAsia" w:ascii="黑体" w:hAnsi="黑体" w:eastAsia="黑体" w:cs="黑体"/>
          <w:lang w:val="en-US" w:eastAsia="zh-CN"/>
        </w:rPr>
        <w:t>表2 内河港口码头企业船舶生活污水接收设施建设要求</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612"/>
        <w:gridCol w:w="1485"/>
        <w:gridCol w:w="1545"/>
        <w:gridCol w:w="132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接收设施</w:t>
            </w:r>
          </w:p>
        </w:tc>
        <w:tc>
          <w:tcPr>
            <w:tcW w:w="7305" w:type="dxa"/>
            <w:gridSpan w:val="5"/>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vAlign w:val="center"/>
          </w:tcPr>
          <w:p>
            <w:pPr>
              <w:jc w:val="center"/>
              <w:rPr>
                <w:rFonts w:hint="default" w:ascii="Times New Roman" w:hAnsi="Times New Roman" w:cs="Times New Roman"/>
                <w:b/>
                <w:bCs/>
                <w:vertAlign w:val="baseline"/>
                <w:lang w:val="en-US" w:eastAsia="zh-CN"/>
              </w:rPr>
            </w:pPr>
          </w:p>
        </w:tc>
        <w:tc>
          <w:tcPr>
            <w:tcW w:w="1612" w:type="dxa"/>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设计通过能力P≤</w:t>
            </w:r>
            <w:r>
              <w:rPr>
                <w:rFonts w:hint="eastAsia" w:ascii="Times New Roman" w:hAnsi="Times New Roman" w:cs="Times New Roman"/>
                <w:b/>
                <w:bCs/>
                <w:vertAlign w:val="baseline"/>
                <w:lang w:val="en-US" w:eastAsia="zh-CN"/>
              </w:rPr>
              <w:t>50</w:t>
            </w:r>
            <w:r>
              <w:rPr>
                <w:rFonts w:hint="default" w:ascii="Times New Roman" w:hAnsi="Times New Roman" w:cs="Times New Roman"/>
                <w:b/>
                <w:bCs/>
                <w:vertAlign w:val="baseline"/>
                <w:lang w:val="en-US" w:eastAsia="zh-CN"/>
              </w:rPr>
              <w:t>万吨</w:t>
            </w:r>
          </w:p>
        </w:tc>
        <w:tc>
          <w:tcPr>
            <w:tcW w:w="1485" w:type="dxa"/>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设计通过能力50＜P≤100万吨</w:t>
            </w:r>
          </w:p>
        </w:tc>
        <w:tc>
          <w:tcPr>
            <w:tcW w:w="1545" w:type="dxa"/>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设计通过能力100＜P≤200万吨</w:t>
            </w:r>
          </w:p>
        </w:tc>
        <w:tc>
          <w:tcPr>
            <w:tcW w:w="1320" w:type="dxa"/>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设计通过能力200＜P≤500万吨</w:t>
            </w:r>
          </w:p>
        </w:tc>
        <w:tc>
          <w:tcPr>
            <w:tcW w:w="1343" w:type="dxa"/>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设计通过能力P﹥500万吨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污水罐（池）</w:t>
            </w:r>
            <w:r>
              <w:rPr>
                <w:rFonts w:hint="default" w:ascii="Times New Roman" w:hAnsi="Times New Roman" w:cs="Times New Roman"/>
                <w:vertAlign w:val="baseline"/>
                <w:lang w:val="en-US" w:eastAsia="zh-CN"/>
              </w:rPr>
              <w:t>总容积</w:t>
            </w:r>
          </w:p>
        </w:tc>
        <w:tc>
          <w:tcPr>
            <w:tcW w:w="161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≥1.5m</w:t>
            </w:r>
            <w:r>
              <w:rPr>
                <w:rFonts w:hint="default" w:ascii="Times New Roman" w:hAnsi="Times New Roman" w:cs="Times New Roman"/>
                <w:vertAlign w:val="superscript"/>
                <w:lang w:val="en-US" w:eastAsia="zh-CN"/>
              </w:rPr>
              <w:t>3</w:t>
            </w:r>
          </w:p>
        </w:tc>
        <w:tc>
          <w:tcPr>
            <w:tcW w:w="148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2</w:t>
            </w:r>
            <w:r>
              <w:rPr>
                <w:rFonts w:hint="default" w:ascii="Times New Roman" w:hAnsi="Times New Roman" w:cs="Times New Roman"/>
                <w:vertAlign w:val="baseline"/>
                <w:lang w:val="en-US" w:eastAsia="zh-CN"/>
              </w:rPr>
              <w:t>m</w:t>
            </w:r>
            <w:r>
              <w:rPr>
                <w:rFonts w:hint="default" w:ascii="Times New Roman" w:hAnsi="Times New Roman" w:cs="Times New Roman"/>
                <w:vertAlign w:val="superscript"/>
                <w:lang w:val="en-US" w:eastAsia="zh-CN"/>
              </w:rPr>
              <w:t>3</w:t>
            </w:r>
          </w:p>
        </w:tc>
        <w:tc>
          <w:tcPr>
            <w:tcW w:w="154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4</w:t>
            </w:r>
            <w:r>
              <w:rPr>
                <w:rFonts w:hint="default" w:ascii="Times New Roman" w:hAnsi="Times New Roman" w:cs="Times New Roman"/>
                <w:vertAlign w:val="baseline"/>
                <w:lang w:val="en-US" w:eastAsia="zh-CN"/>
              </w:rPr>
              <w:t>m</w:t>
            </w:r>
            <w:r>
              <w:rPr>
                <w:rFonts w:hint="default" w:ascii="Times New Roman" w:hAnsi="Times New Roman" w:cs="Times New Roman"/>
                <w:vertAlign w:val="superscript"/>
                <w:lang w:val="en-US" w:eastAsia="zh-CN"/>
              </w:rPr>
              <w:t>3</w:t>
            </w:r>
          </w:p>
        </w:tc>
        <w:tc>
          <w:tcPr>
            <w:tcW w:w="13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10</w:t>
            </w:r>
            <w:r>
              <w:rPr>
                <w:rFonts w:hint="default" w:ascii="Times New Roman" w:hAnsi="Times New Roman" w:cs="Times New Roman"/>
                <w:vertAlign w:val="baseline"/>
                <w:lang w:val="en-US" w:eastAsia="zh-CN"/>
              </w:rPr>
              <w:t>m</w:t>
            </w:r>
            <w:r>
              <w:rPr>
                <w:rFonts w:hint="default" w:ascii="Times New Roman" w:hAnsi="Times New Roman" w:cs="Times New Roman"/>
                <w:vertAlign w:val="superscript"/>
                <w:lang w:val="en-US" w:eastAsia="zh-CN"/>
              </w:rPr>
              <w:t>3</w:t>
            </w:r>
          </w:p>
        </w:tc>
        <w:tc>
          <w:tcPr>
            <w:tcW w:w="1343"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20</w:t>
            </w:r>
            <w:r>
              <w:rPr>
                <w:rFonts w:hint="default" w:ascii="Times New Roman" w:hAnsi="Times New Roman" w:cs="Times New Roman"/>
                <w:vertAlign w:val="baseline"/>
                <w:lang w:val="en-US" w:eastAsia="zh-CN"/>
              </w:rPr>
              <w:t>m</w:t>
            </w:r>
            <w:r>
              <w:rPr>
                <w:rFonts w:hint="default" w:ascii="Times New Roman" w:hAnsi="Times New Roman" w:cs="Times New Roman"/>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槽车总容积</w:t>
            </w:r>
          </w:p>
        </w:tc>
        <w:tc>
          <w:tcPr>
            <w:tcW w:w="161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≥1.5m</w:t>
            </w:r>
            <w:r>
              <w:rPr>
                <w:rFonts w:hint="default" w:ascii="Times New Roman" w:hAnsi="Times New Roman" w:cs="Times New Roman"/>
                <w:vertAlign w:val="superscript"/>
                <w:lang w:val="en-US" w:eastAsia="zh-CN"/>
              </w:rPr>
              <w:t>3</w:t>
            </w:r>
          </w:p>
        </w:tc>
        <w:tc>
          <w:tcPr>
            <w:tcW w:w="148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2</w:t>
            </w:r>
            <w:r>
              <w:rPr>
                <w:rFonts w:hint="default" w:ascii="Times New Roman" w:hAnsi="Times New Roman" w:cs="Times New Roman"/>
                <w:vertAlign w:val="baseline"/>
                <w:lang w:val="en-US" w:eastAsia="zh-CN"/>
              </w:rPr>
              <w:t>m</w:t>
            </w:r>
            <w:r>
              <w:rPr>
                <w:rFonts w:hint="default" w:ascii="Times New Roman" w:hAnsi="Times New Roman" w:cs="Times New Roman"/>
                <w:vertAlign w:val="superscript"/>
                <w:lang w:val="en-US" w:eastAsia="zh-CN"/>
              </w:rPr>
              <w:t>3</w:t>
            </w:r>
          </w:p>
        </w:tc>
        <w:tc>
          <w:tcPr>
            <w:tcW w:w="154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2</w:t>
            </w:r>
            <w:r>
              <w:rPr>
                <w:rFonts w:hint="default" w:ascii="Times New Roman" w:hAnsi="Times New Roman" w:cs="Times New Roman"/>
                <w:vertAlign w:val="baseline"/>
                <w:lang w:val="en-US" w:eastAsia="zh-CN"/>
              </w:rPr>
              <w:t>m</w:t>
            </w:r>
            <w:r>
              <w:rPr>
                <w:rFonts w:hint="default" w:ascii="Times New Roman" w:hAnsi="Times New Roman" w:cs="Times New Roman"/>
                <w:vertAlign w:val="superscript"/>
                <w:lang w:val="en-US" w:eastAsia="zh-CN"/>
              </w:rPr>
              <w:t>3</w:t>
            </w:r>
          </w:p>
        </w:tc>
        <w:tc>
          <w:tcPr>
            <w:tcW w:w="13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2</w:t>
            </w:r>
            <w:r>
              <w:rPr>
                <w:rFonts w:hint="default" w:ascii="Times New Roman" w:hAnsi="Times New Roman" w:cs="Times New Roman"/>
                <w:vertAlign w:val="baseline"/>
                <w:lang w:val="en-US" w:eastAsia="zh-CN"/>
              </w:rPr>
              <w:t>m</w:t>
            </w:r>
            <w:r>
              <w:rPr>
                <w:rFonts w:hint="default" w:ascii="Times New Roman" w:hAnsi="Times New Roman" w:cs="Times New Roman"/>
                <w:vertAlign w:val="superscript"/>
                <w:lang w:val="en-US" w:eastAsia="zh-CN"/>
              </w:rPr>
              <w:t>3</w:t>
            </w:r>
          </w:p>
        </w:tc>
        <w:tc>
          <w:tcPr>
            <w:tcW w:w="1343"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2</w:t>
            </w:r>
            <w:r>
              <w:rPr>
                <w:rFonts w:hint="default" w:ascii="Times New Roman" w:hAnsi="Times New Roman" w:cs="Times New Roman"/>
                <w:vertAlign w:val="baseline"/>
                <w:lang w:val="en-US" w:eastAsia="zh-CN"/>
              </w:rPr>
              <w:t>m</w:t>
            </w:r>
            <w:r>
              <w:rPr>
                <w:rFonts w:hint="default" w:ascii="Times New Roman" w:hAnsi="Times New Roman" w:cs="Times New Roman"/>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vAlign w:val="center"/>
          </w:tcPr>
          <w:p>
            <w:p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注：</w:t>
            </w:r>
          </w:p>
          <w:p>
            <w:pPr>
              <w:numPr>
                <w:ilvl w:val="0"/>
                <w:numId w:val="2"/>
              </w:numPr>
              <w:jc w:val="both"/>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设计通过能力低于100万吨或者靠港船舶数量少的经营企业可共同建设运营船舶生活污水接收设施。</w:t>
            </w:r>
          </w:p>
          <w:p>
            <w:pPr>
              <w:numPr>
                <w:ilvl w:val="0"/>
                <w:numId w:val="2"/>
              </w:numPr>
              <w:jc w:val="both"/>
              <w:rPr>
                <w:rFonts w:hint="default" w:ascii="Times New Roman" w:hAnsi="Times New Roman" w:cs="Times New Roman"/>
                <w:vertAlign w:val="baseline"/>
                <w:lang w:val="en-US" w:eastAsia="zh-CN"/>
              </w:rPr>
            </w:pPr>
            <w:r>
              <w:rPr>
                <w:rFonts w:hint="eastAsia" w:ascii="Times New Roman" w:hAnsi="Times New Roman" w:cs="Times New Roman"/>
                <w:lang w:val="en-US" w:eastAsia="zh-CN"/>
              </w:rPr>
              <w:t>企业可选择建设污水罐（池）或配置槽车等接收设施。</w:t>
            </w:r>
          </w:p>
          <w:p>
            <w:pPr>
              <w:numPr>
                <w:ilvl w:val="0"/>
                <w:numId w:val="2"/>
              </w:num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企业可根据自身需求增大存储设施容积以延长转运周期。</w:t>
            </w:r>
          </w:p>
          <w:p>
            <w:pPr>
              <w:numPr>
                <w:ilvl w:val="0"/>
                <w:numId w:val="2"/>
              </w:numPr>
              <w:ind w:left="0" w:leftChars="0" w:firstLine="0" w:firstLineChars="0"/>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船舶生活污水接收点应</w:t>
            </w:r>
            <w:r>
              <w:rPr>
                <w:rFonts w:hint="eastAsia" w:ascii="Times New Roman" w:hAnsi="Times New Roman" w:cs="Times New Roman"/>
                <w:vertAlign w:val="baseline"/>
                <w:lang w:val="en-US" w:eastAsia="zh-CN"/>
              </w:rPr>
              <w:t>在醒目位置设置</w:t>
            </w:r>
            <w:r>
              <w:rPr>
                <w:rFonts w:hint="default" w:ascii="Times New Roman" w:hAnsi="Times New Roman" w:cs="Times New Roman"/>
                <w:vertAlign w:val="baseline"/>
                <w:lang w:val="en-US" w:eastAsia="zh-CN"/>
              </w:rPr>
              <w:t>标识牌，需在标识牌上张贴联单系统二维码。</w:t>
            </w:r>
          </w:p>
        </w:tc>
      </w:tr>
    </w:tbl>
    <w:p>
      <w:pPr>
        <w:spacing w:line="360" w:lineRule="auto"/>
        <w:rPr>
          <w:rFonts w:hint="eastAsia"/>
          <w:sz w:val="24"/>
          <w:szCs w:val="24"/>
          <w:lang w:val="en-US" w:eastAsia="zh-CN"/>
        </w:rPr>
      </w:pPr>
      <w:r>
        <w:rPr>
          <w:rFonts w:hint="eastAsia"/>
          <w:sz w:val="24"/>
          <w:szCs w:val="24"/>
          <w:lang w:val="en-US" w:eastAsia="zh-CN"/>
        </w:rPr>
        <w:t>6.2.2.2污水罐（池）、槽车宜设置通气管系、清洗装置和液位测量装置。</w:t>
      </w:r>
    </w:p>
    <w:p>
      <w:pPr>
        <w:spacing w:line="360" w:lineRule="auto"/>
        <w:rPr>
          <w:rFonts w:hint="eastAsia"/>
          <w:sz w:val="24"/>
          <w:szCs w:val="24"/>
          <w:lang w:val="en-US" w:eastAsia="zh-CN"/>
        </w:rPr>
      </w:pPr>
      <w:r>
        <w:rPr>
          <w:rFonts w:hint="eastAsia"/>
          <w:sz w:val="24"/>
          <w:szCs w:val="24"/>
          <w:lang w:val="en-US" w:eastAsia="zh-CN"/>
        </w:rPr>
        <w:t>6.2.2.3污水罐（池）、槽车应考虑防腐与防渗漏等要求，罐体宜采用钢质、PVC等材料。</w:t>
      </w:r>
    </w:p>
    <w:p>
      <w:pPr>
        <w:spacing w:line="360" w:lineRule="auto"/>
        <w:rPr>
          <w:rFonts w:hint="default"/>
          <w:sz w:val="24"/>
          <w:szCs w:val="24"/>
          <w:lang w:val="en-US" w:eastAsia="zh-CN"/>
        </w:rPr>
      </w:pPr>
      <w:r>
        <w:rPr>
          <w:rFonts w:hint="eastAsia"/>
          <w:sz w:val="24"/>
          <w:szCs w:val="24"/>
          <w:lang w:val="en-US" w:eastAsia="zh-CN"/>
        </w:rPr>
        <w:t>6.2.2.4使用槽车接收船舶生活污水时，应考虑槽车通行通道和驻停区等要求。</w:t>
      </w:r>
    </w:p>
    <w:p>
      <w:pPr>
        <w:spacing w:line="360" w:lineRule="auto"/>
        <w:rPr>
          <w:rFonts w:hint="eastAsia"/>
          <w:sz w:val="24"/>
          <w:szCs w:val="24"/>
          <w:lang w:val="en-US" w:eastAsia="zh-CN"/>
        </w:rPr>
      </w:pPr>
      <w:r>
        <w:rPr>
          <w:rFonts w:hint="eastAsia"/>
          <w:sz w:val="24"/>
          <w:szCs w:val="24"/>
          <w:lang w:val="en-US" w:eastAsia="zh-CN"/>
        </w:rPr>
        <w:t>6.2.3水质不满足市政污水管网或污水处理设施的接收要求时，应设置预处理设施，并符合下列规定。</w:t>
      </w:r>
    </w:p>
    <w:p>
      <w:pPr>
        <w:spacing w:line="360" w:lineRule="auto"/>
        <w:rPr>
          <w:rFonts w:hint="eastAsia"/>
          <w:sz w:val="24"/>
          <w:szCs w:val="24"/>
          <w:lang w:val="en-US" w:eastAsia="zh-CN"/>
        </w:rPr>
      </w:pPr>
      <w:r>
        <w:rPr>
          <w:rFonts w:hint="eastAsia"/>
          <w:sz w:val="24"/>
          <w:szCs w:val="24"/>
          <w:lang w:val="en-US" w:eastAsia="zh-CN"/>
        </w:rPr>
        <w:t>6.2.3.1预处理设施设计规模一般考虑单日船舶生活污水接收量和预处理需求确定。</w:t>
      </w:r>
    </w:p>
    <w:p>
      <w:pPr>
        <w:spacing w:line="360" w:lineRule="auto"/>
        <w:rPr>
          <w:rFonts w:hint="eastAsia"/>
          <w:sz w:val="24"/>
          <w:szCs w:val="24"/>
          <w:lang w:val="en-US" w:eastAsia="zh-CN"/>
        </w:rPr>
      </w:pPr>
      <w:r>
        <w:rPr>
          <w:rFonts w:hint="eastAsia"/>
          <w:sz w:val="24"/>
          <w:szCs w:val="24"/>
          <w:lang w:val="en-US" w:eastAsia="zh-CN"/>
        </w:rPr>
        <w:t>6.2.3.2预处理后，船舶生活污水应满足市政污水管网或污水处理设施的接收水质要求。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7.船舶含油污水接收设施建设要求</w:t>
      </w:r>
    </w:p>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7.1一般要求</w:t>
      </w:r>
    </w:p>
    <w:p>
      <w:pPr>
        <w:spacing w:line="360" w:lineRule="auto"/>
        <w:rPr>
          <w:rFonts w:hint="eastAsia"/>
          <w:sz w:val="24"/>
          <w:szCs w:val="24"/>
          <w:lang w:val="en-US" w:eastAsia="zh-CN"/>
        </w:rPr>
      </w:pPr>
      <w:r>
        <w:rPr>
          <w:rFonts w:hint="eastAsia"/>
          <w:sz w:val="24"/>
          <w:szCs w:val="24"/>
          <w:lang w:val="en-US" w:eastAsia="zh-CN"/>
        </w:rPr>
        <w:t>7.1.1内河码头应配备岸上船舶含油污水接收设施。接收设施应包含船岸连接和接口设备，根据需要可选择配置污水罐（池）、槽车和预处理设施等。</w:t>
      </w:r>
    </w:p>
    <w:p>
      <w:pPr>
        <w:spacing w:line="360" w:lineRule="auto"/>
        <w:rPr>
          <w:rFonts w:hint="eastAsia"/>
          <w:sz w:val="24"/>
          <w:szCs w:val="24"/>
          <w:lang w:val="en-US" w:eastAsia="zh-CN"/>
        </w:rPr>
      </w:pPr>
      <w:r>
        <w:rPr>
          <w:rFonts w:hint="eastAsia"/>
          <w:sz w:val="24"/>
          <w:szCs w:val="24"/>
          <w:lang w:val="en-US" w:eastAsia="zh-CN"/>
        </w:rPr>
        <w:t>7.1.2 船舶含油污水接收上岸后，可排入港外废水处理厂或港内含油污水处理设施。</w:t>
      </w:r>
    </w:p>
    <w:p>
      <w:pPr>
        <w:spacing w:line="360" w:lineRule="auto"/>
        <w:rPr>
          <w:rFonts w:hint="eastAsia"/>
          <w:sz w:val="24"/>
          <w:szCs w:val="24"/>
          <w:lang w:val="en-US" w:eastAsia="zh-CN"/>
        </w:rPr>
      </w:pPr>
      <w:r>
        <w:rPr>
          <w:rFonts w:hint="eastAsia"/>
          <w:sz w:val="24"/>
          <w:szCs w:val="24"/>
          <w:lang w:val="en-US" w:eastAsia="zh-CN"/>
        </w:rPr>
        <w:t>7.1.3 泊位数量多、岸线长的港口码头企业宜选用槽车接收转运船舶含油污水。</w:t>
      </w:r>
    </w:p>
    <w:p>
      <w:pPr>
        <w:keepNext w:val="0"/>
        <w:keepLines w:val="0"/>
        <w:pageBreakBefore w:val="0"/>
        <w:widowControl w:val="0"/>
        <w:kinsoku/>
        <w:wordWrap/>
        <w:overflowPunct/>
        <w:topLinePunct w:val="0"/>
        <w:autoSpaceDE/>
        <w:autoSpaceDN/>
        <w:bidi w:val="0"/>
        <w:adjustRightInd/>
        <w:snapToGrid/>
        <w:spacing w:before="157" w:beforeLines="50" w:line="360" w:lineRule="auto"/>
        <w:ind w:right="0" w:right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7.2设施建设要求</w:t>
      </w:r>
    </w:p>
    <w:p>
      <w:pPr>
        <w:spacing w:line="360" w:lineRule="auto"/>
        <w:rPr>
          <w:rFonts w:hint="eastAsia"/>
          <w:sz w:val="24"/>
          <w:szCs w:val="24"/>
          <w:lang w:val="en-US" w:eastAsia="zh-CN"/>
        </w:rPr>
      </w:pPr>
      <w:r>
        <w:rPr>
          <w:rFonts w:hint="eastAsia"/>
          <w:sz w:val="24"/>
          <w:szCs w:val="24"/>
          <w:lang w:val="en-US" w:eastAsia="zh-CN"/>
        </w:rPr>
        <w:t>7.2.1船岸连接和接口设备应符合下列规定。</w:t>
      </w:r>
    </w:p>
    <w:p>
      <w:pPr>
        <w:spacing w:line="360" w:lineRule="auto"/>
        <w:rPr>
          <w:rFonts w:hint="eastAsia"/>
          <w:sz w:val="24"/>
          <w:szCs w:val="24"/>
          <w:lang w:val="en-US" w:eastAsia="zh-CN"/>
        </w:rPr>
      </w:pPr>
      <w:r>
        <w:rPr>
          <w:rFonts w:hint="eastAsia"/>
          <w:sz w:val="24"/>
          <w:szCs w:val="24"/>
          <w:lang w:val="en-US" w:eastAsia="zh-CN"/>
        </w:rPr>
        <w:t>7.2.1.1 船岸连接和接口设备包括接收接头、接收软管、污水提升泵和流量计。</w:t>
      </w:r>
    </w:p>
    <w:p>
      <w:pPr>
        <w:spacing w:line="360" w:lineRule="auto"/>
        <w:rPr>
          <w:rFonts w:hint="eastAsia"/>
          <w:sz w:val="24"/>
          <w:szCs w:val="24"/>
          <w:lang w:val="en-US" w:eastAsia="zh-CN"/>
        </w:rPr>
      </w:pPr>
      <w:r>
        <w:rPr>
          <w:rFonts w:hint="eastAsia"/>
          <w:sz w:val="24"/>
          <w:szCs w:val="24"/>
          <w:lang w:val="en-US" w:eastAsia="zh-CN"/>
        </w:rPr>
        <w:t>7.2.1.2 船岸连接和接口设备应符合JTS/T 175、内河船舶法定检验技术规则的有关规定。</w:t>
      </w:r>
    </w:p>
    <w:p>
      <w:pPr>
        <w:spacing w:line="360" w:lineRule="auto"/>
        <w:rPr>
          <w:rFonts w:hint="eastAsia"/>
          <w:sz w:val="24"/>
          <w:szCs w:val="24"/>
          <w:lang w:val="en-US" w:eastAsia="zh-CN"/>
        </w:rPr>
      </w:pPr>
      <w:r>
        <w:rPr>
          <w:rFonts w:hint="eastAsia"/>
          <w:sz w:val="24"/>
          <w:szCs w:val="24"/>
          <w:lang w:val="en-US" w:eastAsia="zh-CN"/>
        </w:rPr>
        <w:t>7.2.1.3接收软管应配备截止阀，在接收含油污水后及时关闭，避免对水域二次污染。</w:t>
      </w:r>
    </w:p>
    <w:p>
      <w:pPr>
        <w:spacing w:line="360" w:lineRule="auto"/>
        <w:rPr>
          <w:rFonts w:hint="eastAsia"/>
          <w:sz w:val="24"/>
          <w:szCs w:val="24"/>
          <w:lang w:val="en-US" w:eastAsia="zh-CN"/>
        </w:rPr>
      </w:pPr>
      <w:r>
        <w:rPr>
          <w:rFonts w:hint="eastAsia"/>
          <w:sz w:val="24"/>
          <w:szCs w:val="24"/>
          <w:lang w:val="en-US" w:eastAsia="zh-CN"/>
        </w:rPr>
        <w:t>7.2.1.4 污水提升泵应具备自吸功能，扬程应综合考虑提升高度、管路系统水头损失和不小于2m的富裕水头等因素确定，自吸高度和扬程应能够满足船舶含油污水上岸的要求。</w:t>
      </w:r>
    </w:p>
    <w:p>
      <w:pPr>
        <w:spacing w:line="360" w:lineRule="auto"/>
        <w:rPr>
          <w:rFonts w:hint="eastAsia"/>
          <w:sz w:val="24"/>
          <w:szCs w:val="24"/>
          <w:lang w:val="en-US" w:eastAsia="zh-CN"/>
        </w:rPr>
      </w:pPr>
      <w:r>
        <w:rPr>
          <w:rFonts w:hint="eastAsia"/>
          <w:sz w:val="24"/>
          <w:szCs w:val="24"/>
          <w:lang w:val="en-US" w:eastAsia="zh-CN"/>
        </w:rPr>
        <w:t>7.2.1.5 流量计安装在接收软管与污水罐（池）、槽车连接的端口。</w:t>
      </w:r>
    </w:p>
    <w:p>
      <w:pPr>
        <w:spacing w:line="360" w:lineRule="auto"/>
        <w:rPr>
          <w:rFonts w:hint="eastAsia"/>
          <w:sz w:val="24"/>
          <w:szCs w:val="24"/>
          <w:lang w:val="en-US" w:eastAsia="zh-CN"/>
        </w:rPr>
      </w:pPr>
      <w:r>
        <w:rPr>
          <w:rFonts w:hint="eastAsia"/>
          <w:sz w:val="24"/>
          <w:szCs w:val="24"/>
          <w:lang w:val="en-US" w:eastAsia="zh-CN"/>
        </w:rPr>
        <w:t>7.2.2 船舶含油污水接收设施应符合下列规定。</w:t>
      </w:r>
    </w:p>
    <w:p>
      <w:pPr>
        <w:spacing w:line="360" w:lineRule="auto"/>
        <w:rPr>
          <w:rFonts w:hint="eastAsia"/>
          <w:sz w:val="24"/>
          <w:szCs w:val="24"/>
          <w:lang w:val="en-US" w:eastAsia="zh-CN"/>
        </w:rPr>
      </w:pPr>
      <w:r>
        <w:rPr>
          <w:rFonts w:hint="eastAsia"/>
          <w:sz w:val="24"/>
          <w:szCs w:val="24"/>
          <w:lang w:val="en-US" w:eastAsia="zh-CN"/>
        </w:rPr>
        <w:t>7.2.2.1内河港口码头污水罐（池）、槽车的容积应根据码头泊位设计通过能力确定，综合考虑靠泊船型、转运频次，不宜低于表3要求。</w:t>
      </w:r>
    </w:p>
    <w:p>
      <w:pPr>
        <w:jc w:val="center"/>
        <w:rPr>
          <w:rFonts w:hint="eastAsia" w:ascii="黑体" w:hAnsi="黑体" w:eastAsia="黑体" w:cs="黑体"/>
          <w:lang w:val="en-US" w:eastAsia="zh-CN"/>
        </w:rPr>
      </w:pPr>
      <w:r>
        <w:rPr>
          <w:rFonts w:hint="eastAsia" w:ascii="黑体" w:hAnsi="黑体" w:eastAsia="黑体" w:cs="黑体"/>
          <w:lang w:val="en-US" w:eastAsia="zh-CN"/>
        </w:rPr>
        <w:t>表3 内河港口码头企业船舶含油污水接收设施建设要求</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612"/>
        <w:gridCol w:w="1485"/>
        <w:gridCol w:w="1545"/>
        <w:gridCol w:w="132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接收设施</w:t>
            </w:r>
          </w:p>
        </w:tc>
        <w:tc>
          <w:tcPr>
            <w:tcW w:w="7305" w:type="dxa"/>
            <w:gridSpan w:val="5"/>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vAlign w:val="center"/>
          </w:tcPr>
          <w:p>
            <w:pPr>
              <w:jc w:val="center"/>
              <w:rPr>
                <w:rFonts w:hint="default" w:ascii="Times New Roman" w:hAnsi="Times New Roman" w:cs="Times New Roman"/>
                <w:b/>
                <w:bCs/>
                <w:vertAlign w:val="baseline"/>
                <w:lang w:val="en-US" w:eastAsia="zh-CN"/>
              </w:rPr>
            </w:pPr>
          </w:p>
        </w:tc>
        <w:tc>
          <w:tcPr>
            <w:tcW w:w="1612" w:type="dxa"/>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设计通过能力P≤</w:t>
            </w:r>
            <w:r>
              <w:rPr>
                <w:rFonts w:hint="eastAsia" w:ascii="Times New Roman" w:hAnsi="Times New Roman" w:cs="Times New Roman"/>
                <w:b/>
                <w:bCs/>
                <w:vertAlign w:val="baseline"/>
                <w:lang w:val="en-US" w:eastAsia="zh-CN"/>
              </w:rPr>
              <w:t>50</w:t>
            </w:r>
            <w:r>
              <w:rPr>
                <w:rFonts w:hint="default" w:ascii="Times New Roman" w:hAnsi="Times New Roman" w:cs="Times New Roman"/>
                <w:b/>
                <w:bCs/>
                <w:vertAlign w:val="baseline"/>
                <w:lang w:val="en-US" w:eastAsia="zh-CN"/>
              </w:rPr>
              <w:t>万吨</w:t>
            </w:r>
          </w:p>
        </w:tc>
        <w:tc>
          <w:tcPr>
            <w:tcW w:w="1485" w:type="dxa"/>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设计通过能力50＜P≤100万吨</w:t>
            </w:r>
          </w:p>
        </w:tc>
        <w:tc>
          <w:tcPr>
            <w:tcW w:w="1545" w:type="dxa"/>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设计通过能力100＜P≤200万吨</w:t>
            </w:r>
          </w:p>
        </w:tc>
        <w:tc>
          <w:tcPr>
            <w:tcW w:w="1320" w:type="dxa"/>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设计通过能力200＜P≤500万吨</w:t>
            </w:r>
          </w:p>
        </w:tc>
        <w:tc>
          <w:tcPr>
            <w:tcW w:w="1343" w:type="dxa"/>
            <w:vAlign w:val="center"/>
          </w:tcPr>
          <w:p>
            <w:pPr>
              <w:jc w:val="center"/>
              <w:rPr>
                <w:rFonts w:hint="default" w:ascii="Times New Roman" w:hAnsi="Times New Roman" w:cs="Times New Roman"/>
                <w:b/>
                <w:bCs/>
                <w:vertAlign w:val="baseline"/>
                <w:lang w:val="en-US" w:eastAsia="zh-CN"/>
              </w:rPr>
            </w:pPr>
            <w:r>
              <w:rPr>
                <w:rFonts w:hint="default" w:ascii="Times New Roman" w:hAnsi="Times New Roman" w:cs="Times New Roman"/>
                <w:b/>
                <w:bCs/>
                <w:vertAlign w:val="baseline"/>
                <w:lang w:val="en-US" w:eastAsia="zh-CN"/>
              </w:rPr>
              <w:t>设计通过能力P﹥500万吨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污水罐（池）</w:t>
            </w:r>
            <w:r>
              <w:rPr>
                <w:rFonts w:hint="default" w:ascii="Times New Roman" w:hAnsi="Times New Roman" w:cs="Times New Roman"/>
                <w:vertAlign w:val="baseline"/>
                <w:lang w:val="en-US" w:eastAsia="zh-CN"/>
              </w:rPr>
              <w:t>总容积</w:t>
            </w:r>
          </w:p>
        </w:tc>
        <w:tc>
          <w:tcPr>
            <w:tcW w:w="161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0.8</w:t>
            </w:r>
            <w:r>
              <w:rPr>
                <w:rFonts w:hint="default" w:ascii="Times New Roman" w:hAnsi="Times New Roman" w:cs="Times New Roman"/>
                <w:vertAlign w:val="baseline"/>
                <w:lang w:val="en-US" w:eastAsia="zh-CN"/>
              </w:rPr>
              <w:t>m</w:t>
            </w:r>
            <w:r>
              <w:rPr>
                <w:rFonts w:hint="default" w:ascii="Times New Roman" w:hAnsi="Times New Roman" w:cs="Times New Roman"/>
                <w:vertAlign w:val="superscript"/>
                <w:lang w:val="en-US" w:eastAsia="zh-CN"/>
              </w:rPr>
              <w:t>3</w:t>
            </w:r>
          </w:p>
        </w:tc>
        <w:tc>
          <w:tcPr>
            <w:tcW w:w="148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1.2</w:t>
            </w:r>
            <w:r>
              <w:rPr>
                <w:rFonts w:hint="default" w:ascii="Times New Roman" w:hAnsi="Times New Roman" w:cs="Times New Roman"/>
                <w:vertAlign w:val="baseline"/>
                <w:lang w:val="en-US" w:eastAsia="zh-CN"/>
              </w:rPr>
              <w:t>m</w:t>
            </w:r>
            <w:r>
              <w:rPr>
                <w:rFonts w:hint="default" w:ascii="Times New Roman" w:hAnsi="Times New Roman" w:cs="Times New Roman"/>
                <w:vertAlign w:val="superscript"/>
                <w:lang w:val="en-US" w:eastAsia="zh-CN"/>
              </w:rPr>
              <w:t>3</w:t>
            </w:r>
          </w:p>
        </w:tc>
        <w:tc>
          <w:tcPr>
            <w:tcW w:w="154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2.4</w:t>
            </w:r>
            <w:r>
              <w:rPr>
                <w:rFonts w:hint="default" w:ascii="Times New Roman" w:hAnsi="Times New Roman" w:cs="Times New Roman"/>
                <w:vertAlign w:val="baseline"/>
                <w:lang w:val="en-US" w:eastAsia="zh-CN"/>
              </w:rPr>
              <w:t>m</w:t>
            </w:r>
            <w:r>
              <w:rPr>
                <w:rFonts w:hint="default" w:ascii="Times New Roman" w:hAnsi="Times New Roman" w:cs="Times New Roman"/>
                <w:vertAlign w:val="superscript"/>
                <w:lang w:val="en-US" w:eastAsia="zh-CN"/>
              </w:rPr>
              <w:t>3</w:t>
            </w:r>
          </w:p>
        </w:tc>
        <w:tc>
          <w:tcPr>
            <w:tcW w:w="13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6</w:t>
            </w:r>
            <w:r>
              <w:rPr>
                <w:rFonts w:hint="default" w:ascii="Times New Roman" w:hAnsi="Times New Roman" w:cs="Times New Roman"/>
                <w:vertAlign w:val="baseline"/>
                <w:lang w:val="en-US" w:eastAsia="zh-CN"/>
              </w:rPr>
              <w:t>m</w:t>
            </w:r>
            <w:r>
              <w:rPr>
                <w:rFonts w:hint="default" w:ascii="Times New Roman" w:hAnsi="Times New Roman" w:cs="Times New Roman"/>
                <w:vertAlign w:val="superscript"/>
                <w:lang w:val="en-US" w:eastAsia="zh-CN"/>
              </w:rPr>
              <w:t>3</w:t>
            </w:r>
          </w:p>
        </w:tc>
        <w:tc>
          <w:tcPr>
            <w:tcW w:w="1343"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12</w:t>
            </w:r>
            <w:r>
              <w:rPr>
                <w:rFonts w:hint="default" w:ascii="Times New Roman" w:hAnsi="Times New Roman" w:cs="Times New Roman"/>
                <w:vertAlign w:val="baseline"/>
                <w:lang w:val="en-US" w:eastAsia="zh-CN"/>
              </w:rPr>
              <w:t>m</w:t>
            </w:r>
            <w:r>
              <w:rPr>
                <w:rFonts w:hint="default" w:ascii="Times New Roman" w:hAnsi="Times New Roman" w:cs="Times New Roman"/>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槽车总容积</w:t>
            </w:r>
          </w:p>
        </w:tc>
        <w:tc>
          <w:tcPr>
            <w:tcW w:w="1612"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0.8</w:t>
            </w:r>
            <w:r>
              <w:rPr>
                <w:rFonts w:hint="default" w:ascii="Times New Roman" w:hAnsi="Times New Roman" w:cs="Times New Roman"/>
                <w:vertAlign w:val="baseline"/>
                <w:lang w:val="en-US" w:eastAsia="zh-CN"/>
              </w:rPr>
              <w:t>m</w:t>
            </w:r>
            <w:r>
              <w:rPr>
                <w:rFonts w:hint="default" w:ascii="Times New Roman" w:hAnsi="Times New Roman" w:cs="Times New Roman"/>
                <w:vertAlign w:val="superscript"/>
                <w:lang w:val="en-US" w:eastAsia="zh-CN"/>
              </w:rPr>
              <w:t>3</w:t>
            </w:r>
          </w:p>
        </w:tc>
        <w:tc>
          <w:tcPr>
            <w:tcW w:w="148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1.2</w:t>
            </w:r>
            <w:r>
              <w:rPr>
                <w:rFonts w:hint="default" w:ascii="Times New Roman" w:hAnsi="Times New Roman" w:cs="Times New Roman"/>
                <w:vertAlign w:val="baseline"/>
                <w:lang w:val="en-US" w:eastAsia="zh-CN"/>
              </w:rPr>
              <w:t>m</w:t>
            </w:r>
            <w:r>
              <w:rPr>
                <w:rFonts w:hint="default" w:ascii="Times New Roman" w:hAnsi="Times New Roman" w:cs="Times New Roman"/>
                <w:vertAlign w:val="superscript"/>
                <w:lang w:val="en-US" w:eastAsia="zh-CN"/>
              </w:rPr>
              <w:t>3</w:t>
            </w:r>
          </w:p>
        </w:tc>
        <w:tc>
          <w:tcPr>
            <w:tcW w:w="1545"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1.2</w:t>
            </w:r>
            <w:r>
              <w:rPr>
                <w:rFonts w:hint="default" w:ascii="Times New Roman" w:hAnsi="Times New Roman" w:cs="Times New Roman"/>
                <w:vertAlign w:val="baseline"/>
                <w:lang w:val="en-US" w:eastAsia="zh-CN"/>
              </w:rPr>
              <w:t>m</w:t>
            </w:r>
            <w:r>
              <w:rPr>
                <w:rFonts w:hint="default" w:ascii="Times New Roman" w:hAnsi="Times New Roman" w:cs="Times New Roman"/>
                <w:vertAlign w:val="superscript"/>
                <w:lang w:val="en-US" w:eastAsia="zh-CN"/>
              </w:rPr>
              <w:t>3</w:t>
            </w:r>
          </w:p>
        </w:tc>
        <w:tc>
          <w:tcPr>
            <w:tcW w:w="13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1.2</w:t>
            </w:r>
            <w:r>
              <w:rPr>
                <w:rFonts w:hint="default" w:ascii="Times New Roman" w:hAnsi="Times New Roman" w:cs="Times New Roman"/>
                <w:vertAlign w:val="baseline"/>
                <w:lang w:val="en-US" w:eastAsia="zh-CN"/>
              </w:rPr>
              <w:t>m</w:t>
            </w:r>
            <w:r>
              <w:rPr>
                <w:rFonts w:hint="default" w:ascii="Times New Roman" w:hAnsi="Times New Roman" w:cs="Times New Roman"/>
                <w:vertAlign w:val="superscript"/>
                <w:lang w:val="en-US" w:eastAsia="zh-CN"/>
              </w:rPr>
              <w:t>3</w:t>
            </w:r>
          </w:p>
        </w:tc>
        <w:tc>
          <w:tcPr>
            <w:tcW w:w="1343"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1.2</w:t>
            </w:r>
            <w:r>
              <w:rPr>
                <w:rFonts w:hint="default" w:ascii="Times New Roman" w:hAnsi="Times New Roman" w:cs="Times New Roman"/>
                <w:vertAlign w:val="baseline"/>
                <w:lang w:val="en-US" w:eastAsia="zh-CN"/>
              </w:rPr>
              <w:t>m</w:t>
            </w:r>
            <w:r>
              <w:rPr>
                <w:rFonts w:hint="default" w:ascii="Times New Roman" w:hAnsi="Times New Roman" w:cs="Times New Roman"/>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vAlign w:val="center"/>
          </w:tcPr>
          <w:p>
            <w:p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注：</w:t>
            </w:r>
          </w:p>
          <w:p>
            <w:pPr>
              <w:numPr>
                <w:ilvl w:val="0"/>
                <w:numId w:val="3"/>
              </w:numPr>
              <w:jc w:val="both"/>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设计通过能力低于100万吨或者靠港船舶数量少的经营企业可共同建设运营船舶含油污水接收设施。</w:t>
            </w:r>
          </w:p>
          <w:p>
            <w:pPr>
              <w:numPr>
                <w:ilvl w:val="0"/>
                <w:numId w:val="3"/>
              </w:num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企业可选择建设污水罐（池）或</w:t>
            </w:r>
            <w:r>
              <w:rPr>
                <w:rFonts w:hint="eastAsia" w:ascii="Times New Roman" w:hAnsi="Times New Roman" w:cs="Times New Roman"/>
                <w:vertAlign w:val="baseline"/>
                <w:lang w:val="en-US" w:eastAsia="zh-CN"/>
              </w:rPr>
              <w:t>配置</w:t>
            </w:r>
            <w:r>
              <w:rPr>
                <w:rFonts w:hint="default" w:ascii="Times New Roman" w:hAnsi="Times New Roman" w:cs="Times New Roman"/>
                <w:vertAlign w:val="baseline"/>
                <w:lang w:val="en-US" w:eastAsia="zh-CN"/>
              </w:rPr>
              <w:t>槽车</w:t>
            </w:r>
            <w:r>
              <w:rPr>
                <w:rFonts w:hint="eastAsia" w:ascii="Times New Roman" w:hAnsi="Times New Roman" w:cs="Times New Roman"/>
                <w:vertAlign w:val="baseline"/>
                <w:lang w:val="en-US" w:eastAsia="zh-CN"/>
              </w:rPr>
              <w:t>等</w:t>
            </w:r>
            <w:r>
              <w:rPr>
                <w:rFonts w:hint="default" w:ascii="Times New Roman" w:hAnsi="Times New Roman" w:cs="Times New Roman"/>
                <w:vertAlign w:val="baseline"/>
                <w:lang w:val="en-US" w:eastAsia="zh-CN"/>
              </w:rPr>
              <w:t>接收设施。</w:t>
            </w:r>
          </w:p>
          <w:p>
            <w:pPr>
              <w:numPr>
                <w:ilvl w:val="0"/>
                <w:numId w:val="3"/>
              </w:numPr>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企业可根据自身需求增大存储设施容积以延长转运周期。</w:t>
            </w:r>
          </w:p>
          <w:p>
            <w:pPr>
              <w:numPr>
                <w:ilvl w:val="0"/>
                <w:numId w:val="3"/>
              </w:numPr>
              <w:ind w:left="0" w:leftChars="0" w:firstLine="0" w:firstLineChars="0"/>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船舶含油污水接收点应</w:t>
            </w:r>
            <w:r>
              <w:rPr>
                <w:rFonts w:hint="eastAsia" w:ascii="Times New Roman" w:hAnsi="Times New Roman" w:cs="Times New Roman"/>
                <w:vertAlign w:val="baseline"/>
                <w:lang w:val="en-US" w:eastAsia="zh-CN"/>
              </w:rPr>
              <w:t>在醒目位置设置</w:t>
            </w:r>
            <w:r>
              <w:rPr>
                <w:rFonts w:hint="default" w:ascii="Times New Roman" w:hAnsi="Times New Roman" w:cs="Times New Roman"/>
                <w:vertAlign w:val="baseline"/>
                <w:lang w:val="en-US" w:eastAsia="zh-CN"/>
              </w:rPr>
              <w:t>标识牌，需在标识牌上张贴联单系统二维码。</w:t>
            </w:r>
          </w:p>
        </w:tc>
      </w:tr>
    </w:tbl>
    <w:p>
      <w:pPr>
        <w:spacing w:line="360" w:lineRule="auto"/>
        <w:rPr>
          <w:rFonts w:hint="eastAsia"/>
          <w:sz w:val="24"/>
          <w:szCs w:val="24"/>
          <w:lang w:val="en-US" w:eastAsia="zh-CN"/>
        </w:rPr>
      </w:pPr>
      <w:r>
        <w:rPr>
          <w:rFonts w:hint="eastAsia"/>
          <w:sz w:val="24"/>
          <w:szCs w:val="24"/>
          <w:lang w:val="en-US" w:eastAsia="zh-CN"/>
        </w:rPr>
        <w:t>7.2.2.2污水罐（池）、槽车宜设置通气管系、清洗装置和液位测量装置。</w:t>
      </w:r>
    </w:p>
    <w:p>
      <w:pPr>
        <w:spacing w:line="360" w:lineRule="auto"/>
        <w:rPr>
          <w:rFonts w:hint="eastAsia"/>
          <w:sz w:val="24"/>
          <w:szCs w:val="24"/>
          <w:lang w:val="en-US" w:eastAsia="zh-CN"/>
        </w:rPr>
      </w:pPr>
      <w:r>
        <w:rPr>
          <w:rFonts w:hint="eastAsia"/>
          <w:sz w:val="24"/>
          <w:szCs w:val="24"/>
          <w:lang w:val="en-US" w:eastAsia="zh-CN"/>
        </w:rPr>
        <w:t>7.2.2.3污水罐（池）、槽车应考虑防静电与防渗漏等要求，罐体宜采用钢质、PVC等材料。</w:t>
      </w:r>
    </w:p>
    <w:p>
      <w:pPr>
        <w:spacing w:line="360" w:lineRule="auto"/>
        <w:rPr>
          <w:rFonts w:hint="eastAsia"/>
          <w:sz w:val="24"/>
          <w:szCs w:val="24"/>
          <w:lang w:val="en-US" w:eastAsia="zh-CN"/>
        </w:rPr>
      </w:pPr>
      <w:r>
        <w:rPr>
          <w:rFonts w:hint="eastAsia"/>
          <w:sz w:val="24"/>
          <w:szCs w:val="24"/>
          <w:lang w:val="en-US" w:eastAsia="zh-CN"/>
        </w:rPr>
        <w:t>7.2.2.4使用槽车接收船舶含油污水时，应考虑槽车通行通道和驻停区等要求。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8.其他要求</w:t>
      </w:r>
    </w:p>
    <w:p>
      <w:pPr>
        <w:spacing w:line="360" w:lineRule="auto"/>
        <w:rPr>
          <w:rFonts w:hint="eastAsia"/>
          <w:sz w:val="24"/>
          <w:szCs w:val="24"/>
          <w:lang w:val="en-US" w:eastAsia="zh-CN"/>
        </w:rPr>
      </w:pPr>
      <w:r>
        <w:rPr>
          <w:rFonts w:hint="eastAsia"/>
          <w:sz w:val="24"/>
          <w:szCs w:val="24"/>
          <w:lang w:val="en-US" w:eastAsia="zh-CN"/>
        </w:rPr>
        <w:t>8.1 码头前沿具有船舶污水接收管线的油气化工码头，宜通过自有设施接收船舶生活污水和含油污水；码头前沿没有船舶污水接收管线的油气化工码头，且不具备建设船舶生活污水和含油污水接收设施的安全条件时，可委托有资质的第三方接收单位接收，或共用邻近码头的接收设施进行接收。</w:t>
      </w:r>
    </w:p>
    <w:p>
      <w:pPr>
        <w:spacing w:line="360" w:lineRule="auto"/>
        <w:rPr>
          <w:rFonts w:hint="eastAsia"/>
          <w:sz w:val="24"/>
          <w:szCs w:val="24"/>
          <w:lang w:val="en-US" w:eastAsia="zh-CN"/>
        </w:rPr>
      </w:pPr>
      <w:r>
        <w:rPr>
          <w:rFonts w:hint="eastAsia"/>
          <w:sz w:val="24"/>
          <w:szCs w:val="24"/>
          <w:lang w:val="en-US" w:eastAsia="zh-CN"/>
        </w:rPr>
        <w:t>8.2 客运码头应配置岸上接收设施或者流动接收船接收船舶水污染物，接收设施容积还应综合考虑客位数。其中已经接入市政污水管网的客运码头船舶生活污水接收上岸后，宜优先接入市政污水管网；接收的船舶生活污水水质不具备直接接入市政污水管网条件时，需设置预处理设施。</w:t>
      </w:r>
    </w:p>
    <w:p>
      <w:pPr>
        <w:spacing w:line="360" w:lineRule="auto"/>
        <w:rPr>
          <w:rFonts w:hint="default"/>
          <w:sz w:val="24"/>
          <w:szCs w:val="24"/>
          <w:lang w:val="en-US" w:eastAsia="zh-CN"/>
        </w:rPr>
      </w:pPr>
    </w:p>
    <w:p>
      <w:pPr>
        <w:spacing w:line="360" w:lineRule="auto"/>
        <w:rPr>
          <w:rFonts w:hint="eastAsia" w:ascii="黑体" w:hAnsi="黑体" w:eastAsia="黑体" w:cs="黑体"/>
          <w:sz w:val="24"/>
          <w:szCs w:val="24"/>
          <w:lang w:val="en-US" w:eastAsia="zh-CN"/>
        </w:rPr>
        <w:sectPr>
          <w:footerReference r:id="rId3" w:type="default"/>
          <w:pgSz w:w="11906" w:h="16838"/>
          <w:pgMar w:top="1440" w:right="1800" w:bottom="1440" w:left="1800" w:header="851" w:footer="772" w:gutter="0"/>
          <w:pgNumType w:fmt="decimal"/>
          <w:cols w:space="425" w:num="1"/>
          <w:docGrid w:type="lines" w:linePitch="312" w:charSpace="0"/>
        </w:sectPr>
      </w:pPr>
    </w:p>
    <w:p>
      <w:p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 船舶水污染物接收设施样图</w:t>
      </w:r>
    </w:p>
    <w:p>
      <w:p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（1）船舶生活垃圾接收设施</w:t>
      </w:r>
    </w:p>
    <w:p>
      <w:pPr>
        <w:spacing w:line="360" w:lineRule="auto"/>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drawing>
          <wp:inline distT="0" distB="0" distL="114300" distR="114300">
            <wp:extent cx="4621530" cy="4138930"/>
            <wp:effectExtent l="0" t="0" r="7620" b="13970"/>
            <wp:docPr id="2" name="图片 2" descr="IMG_20211119_14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11119_141436"/>
                    <pic:cNvPicPr>
                      <a:picLocks noChangeAspect="1"/>
                    </pic:cNvPicPr>
                  </pic:nvPicPr>
                  <pic:blipFill>
                    <a:blip r:embed="rId5"/>
                    <a:srcRect l="5403" t="19345" r="6624" b="21566"/>
                    <a:stretch>
                      <a:fillRect/>
                    </a:stretch>
                  </pic:blipFill>
                  <pic:spPr>
                    <a:xfrm>
                      <a:off x="0" y="0"/>
                      <a:ext cx="4621530" cy="4138930"/>
                    </a:xfrm>
                    <a:prstGeom prst="rect">
                      <a:avLst/>
                    </a:prstGeom>
                  </pic:spPr>
                </pic:pic>
              </a:graphicData>
            </a:graphic>
          </wp:inline>
        </w:drawing>
      </w:r>
    </w:p>
    <w:p>
      <w:pPr>
        <w:spacing w:line="360" w:lineRule="auto"/>
        <w:rPr>
          <w:rFonts w:hint="default"/>
          <w:sz w:val="24"/>
          <w:szCs w:val="24"/>
          <w:lang w:val="en-US" w:eastAsia="zh-CN"/>
        </w:rPr>
      </w:pPr>
    </w:p>
    <w:p>
      <w:pPr>
        <w:spacing w:line="360" w:lineRule="auto"/>
        <w:jc w:val="center"/>
        <w:rPr>
          <w:rFonts w:hint="default"/>
          <w:sz w:val="24"/>
          <w:szCs w:val="24"/>
          <w:lang w:val="en-US" w:eastAsia="zh-CN"/>
        </w:rPr>
      </w:pPr>
      <w:r>
        <w:rPr>
          <w:rFonts w:hint="default"/>
          <w:sz w:val="24"/>
          <w:szCs w:val="24"/>
          <w:lang w:val="en-US" w:eastAsia="zh-CN"/>
        </w:rPr>
        <w:drawing>
          <wp:inline distT="0" distB="0" distL="114300" distR="114300">
            <wp:extent cx="4672965" cy="3454400"/>
            <wp:effectExtent l="0" t="0" r="13335" b="12700"/>
            <wp:docPr id="3" name="图片 3" descr="IMG_20211117_11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11117_112743"/>
                    <pic:cNvPicPr>
                      <a:picLocks noChangeAspect="1"/>
                    </pic:cNvPicPr>
                  </pic:nvPicPr>
                  <pic:blipFill>
                    <a:blip r:embed="rId6"/>
                    <a:srcRect l="3853" t="3489" r="6979" b="8627"/>
                    <a:stretch>
                      <a:fillRect/>
                    </a:stretch>
                  </pic:blipFill>
                  <pic:spPr>
                    <a:xfrm>
                      <a:off x="0" y="0"/>
                      <a:ext cx="4672965" cy="3454400"/>
                    </a:xfrm>
                    <a:prstGeom prst="rect">
                      <a:avLst/>
                    </a:prstGeom>
                  </pic:spPr>
                </pic:pic>
              </a:graphicData>
            </a:graphic>
          </wp:inline>
        </w:drawing>
      </w:r>
    </w:p>
    <w:p>
      <w:p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（2）船舶生活污水接收设施</w:t>
      </w:r>
    </w:p>
    <w:p>
      <w:pPr>
        <w:spacing w:line="360" w:lineRule="auto"/>
        <w:jc w:val="center"/>
        <w:rPr>
          <w:rFonts w:hint="default"/>
          <w:sz w:val="24"/>
          <w:szCs w:val="24"/>
          <w:lang w:val="en-US" w:eastAsia="zh-CN"/>
        </w:rPr>
      </w:pPr>
      <w:r>
        <w:rPr>
          <w:rFonts w:hint="default"/>
          <w:sz w:val="24"/>
          <w:szCs w:val="24"/>
          <w:lang w:val="en-US" w:eastAsia="zh-CN"/>
        </w:rPr>
        <w:drawing>
          <wp:inline distT="0" distB="0" distL="114300" distR="114300">
            <wp:extent cx="5074285" cy="3858895"/>
            <wp:effectExtent l="0" t="0" r="12065" b="8255"/>
            <wp:docPr id="5" name="图片 5" descr="IMG_20211119_14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11119_141850"/>
                    <pic:cNvPicPr>
                      <a:picLocks noChangeAspect="1"/>
                    </pic:cNvPicPr>
                  </pic:nvPicPr>
                  <pic:blipFill>
                    <a:blip r:embed="rId7"/>
                    <a:srcRect t="2315" r="3653"/>
                    <a:stretch>
                      <a:fillRect/>
                    </a:stretch>
                  </pic:blipFill>
                  <pic:spPr>
                    <a:xfrm>
                      <a:off x="0" y="0"/>
                      <a:ext cx="5074285" cy="3858895"/>
                    </a:xfrm>
                    <a:prstGeom prst="rect">
                      <a:avLst/>
                    </a:prstGeom>
                  </pic:spPr>
                </pic:pic>
              </a:graphicData>
            </a:graphic>
          </wp:inline>
        </w:drawing>
      </w:r>
    </w:p>
    <w:p>
      <w:pPr>
        <w:spacing w:line="360" w:lineRule="auto"/>
        <w:jc w:val="center"/>
        <w:rPr>
          <w:rFonts w:hint="default"/>
          <w:sz w:val="24"/>
          <w:szCs w:val="24"/>
          <w:lang w:val="en-US" w:eastAsia="zh-CN"/>
        </w:rPr>
      </w:pPr>
    </w:p>
    <w:p>
      <w:pPr>
        <w:spacing w:line="360" w:lineRule="auto"/>
        <w:jc w:val="center"/>
        <w:rPr>
          <w:rFonts w:hint="default"/>
          <w:sz w:val="24"/>
          <w:szCs w:val="24"/>
          <w:lang w:val="en-US" w:eastAsia="zh-CN"/>
        </w:rPr>
      </w:pPr>
      <w:r>
        <w:rPr>
          <w:rFonts w:hint="default"/>
          <w:sz w:val="24"/>
          <w:szCs w:val="24"/>
          <w:lang w:val="en-US" w:eastAsia="zh-CN"/>
        </w:rPr>
        <w:drawing>
          <wp:inline distT="0" distB="0" distL="114300" distR="114300">
            <wp:extent cx="5114925" cy="3168015"/>
            <wp:effectExtent l="0" t="0" r="9525" b="13335"/>
            <wp:docPr id="4" name="图片 4" descr="IMG_20200514_143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00514_143206"/>
                    <pic:cNvPicPr>
                      <a:picLocks noChangeAspect="1"/>
                    </pic:cNvPicPr>
                  </pic:nvPicPr>
                  <pic:blipFill>
                    <a:blip r:embed="rId8"/>
                    <a:srcRect l="6104" t="7144" b="34703"/>
                    <a:stretch>
                      <a:fillRect/>
                    </a:stretch>
                  </pic:blipFill>
                  <pic:spPr>
                    <a:xfrm>
                      <a:off x="0" y="0"/>
                      <a:ext cx="5114925" cy="3168015"/>
                    </a:xfrm>
                    <a:prstGeom prst="rect">
                      <a:avLst/>
                    </a:prstGeom>
                  </pic:spPr>
                </pic:pic>
              </a:graphicData>
            </a:graphic>
          </wp:inline>
        </w:drawing>
      </w:r>
    </w:p>
    <w:p>
      <w:pPr>
        <w:spacing w:line="360" w:lineRule="auto"/>
        <w:jc w:val="center"/>
        <w:rPr>
          <w:rFonts w:hint="default"/>
          <w:sz w:val="24"/>
          <w:szCs w:val="24"/>
          <w:lang w:val="en-US" w:eastAsia="zh-CN"/>
        </w:rPr>
        <w:sectPr>
          <w:pgSz w:w="11906" w:h="16838"/>
          <w:pgMar w:top="1440" w:right="1800" w:bottom="1440" w:left="1800" w:header="851" w:footer="772" w:gutter="0"/>
          <w:pgNumType w:fmt="decimal"/>
          <w:cols w:space="425" w:num="1"/>
          <w:docGrid w:type="lines" w:linePitch="312" w:charSpace="0"/>
        </w:sectPr>
      </w:pPr>
    </w:p>
    <w:p>
      <w:p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（3）船舶含油污水接收设施</w:t>
      </w:r>
    </w:p>
    <w:p>
      <w:pPr>
        <w:spacing w:line="360" w:lineRule="auto"/>
        <w:jc w:val="center"/>
        <w:rPr>
          <w:rFonts w:hint="default"/>
          <w:sz w:val="24"/>
          <w:szCs w:val="24"/>
          <w:lang w:val="en-US" w:eastAsia="zh-CN"/>
        </w:rPr>
      </w:pPr>
      <w:r>
        <w:rPr>
          <w:rFonts w:hint="default"/>
          <w:sz w:val="24"/>
          <w:szCs w:val="24"/>
          <w:lang w:val="en-US" w:eastAsia="zh-CN"/>
        </w:rPr>
        <w:drawing>
          <wp:inline distT="0" distB="0" distL="114300" distR="114300">
            <wp:extent cx="5010785" cy="3950335"/>
            <wp:effectExtent l="0" t="0" r="18415" b="12065"/>
            <wp:docPr id="7" name="图片 7" descr="IMG_20211119_14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11119_141648"/>
                    <pic:cNvPicPr>
                      <a:picLocks noChangeAspect="1"/>
                    </pic:cNvPicPr>
                  </pic:nvPicPr>
                  <pic:blipFill>
                    <a:blip r:embed="rId9"/>
                    <a:srcRect r="4859"/>
                    <a:stretch>
                      <a:fillRect/>
                    </a:stretch>
                  </pic:blipFill>
                  <pic:spPr>
                    <a:xfrm>
                      <a:off x="0" y="0"/>
                      <a:ext cx="5010785" cy="3950335"/>
                    </a:xfrm>
                    <a:prstGeom prst="rect">
                      <a:avLst/>
                    </a:prstGeom>
                  </pic:spPr>
                </pic:pic>
              </a:graphicData>
            </a:graphic>
          </wp:inline>
        </w:drawing>
      </w:r>
    </w:p>
    <w:p>
      <w:pPr>
        <w:spacing w:line="360" w:lineRule="auto"/>
        <w:jc w:val="center"/>
        <w:rPr>
          <w:rFonts w:hint="default"/>
          <w:sz w:val="24"/>
          <w:szCs w:val="24"/>
          <w:lang w:val="en-US" w:eastAsia="zh-CN"/>
        </w:rPr>
      </w:pPr>
      <w:r>
        <w:rPr>
          <w:rFonts w:hint="default"/>
          <w:sz w:val="24"/>
          <w:szCs w:val="24"/>
          <w:lang w:val="en-US" w:eastAsia="zh-CN"/>
        </w:rPr>
        <w:drawing>
          <wp:inline distT="0" distB="0" distL="114300" distR="114300">
            <wp:extent cx="5010150" cy="3052445"/>
            <wp:effectExtent l="0" t="0" r="0" b="14605"/>
            <wp:docPr id="8" name="图片 8" descr="mmexport161784990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617849900375"/>
                    <pic:cNvPicPr>
                      <a:picLocks noChangeAspect="1"/>
                    </pic:cNvPicPr>
                  </pic:nvPicPr>
                  <pic:blipFill>
                    <a:blip r:embed="rId10"/>
                    <a:srcRect r="4871" b="22729"/>
                    <a:stretch>
                      <a:fillRect/>
                    </a:stretch>
                  </pic:blipFill>
                  <pic:spPr>
                    <a:xfrm>
                      <a:off x="0" y="0"/>
                      <a:ext cx="5010150" cy="3052445"/>
                    </a:xfrm>
                    <a:prstGeom prst="rect">
                      <a:avLst/>
                    </a:prstGeom>
                  </pic:spPr>
                </pic:pic>
              </a:graphicData>
            </a:graphic>
          </wp:inline>
        </w:drawing>
      </w:r>
    </w:p>
    <w:sectPr>
      <w:pgSz w:w="11906" w:h="16838"/>
      <w:pgMar w:top="1440" w:right="1800" w:bottom="1440" w:left="1800" w:header="851" w:footer="77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33BA6B"/>
    <w:multiLevelType w:val="singleLevel"/>
    <w:tmpl w:val="D933BA6B"/>
    <w:lvl w:ilvl="0" w:tentative="0">
      <w:start w:val="1"/>
      <w:numFmt w:val="decimal"/>
      <w:suff w:val="space"/>
      <w:lvlText w:val="（%1）"/>
      <w:lvlJc w:val="left"/>
    </w:lvl>
  </w:abstractNum>
  <w:abstractNum w:abstractNumId="1">
    <w:nsid w:val="200CE6BD"/>
    <w:multiLevelType w:val="singleLevel"/>
    <w:tmpl w:val="200CE6BD"/>
    <w:lvl w:ilvl="0" w:tentative="0">
      <w:start w:val="1"/>
      <w:numFmt w:val="decimal"/>
      <w:suff w:val="nothing"/>
      <w:lvlText w:val="（%1）"/>
      <w:lvlJc w:val="left"/>
    </w:lvl>
  </w:abstractNum>
  <w:abstractNum w:abstractNumId="2">
    <w:nsid w:val="757E46E5"/>
    <w:multiLevelType w:val="singleLevel"/>
    <w:tmpl w:val="757E46E5"/>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14F49"/>
    <w:rsid w:val="00A03920"/>
    <w:rsid w:val="00A744B3"/>
    <w:rsid w:val="00D7589F"/>
    <w:rsid w:val="00FD23D3"/>
    <w:rsid w:val="042F1FAC"/>
    <w:rsid w:val="044D160B"/>
    <w:rsid w:val="04F61FD7"/>
    <w:rsid w:val="052F5377"/>
    <w:rsid w:val="05AF04E7"/>
    <w:rsid w:val="071F3EAA"/>
    <w:rsid w:val="075B219C"/>
    <w:rsid w:val="086D4A76"/>
    <w:rsid w:val="08C11F60"/>
    <w:rsid w:val="096A130D"/>
    <w:rsid w:val="0A24208C"/>
    <w:rsid w:val="0A3D1CCF"/>
    <w:rsid w:val="0A42228D"/>
    <w:rsid w:val="0AA95D06"/>
    <w:rsid w:val="0AF8549D"/>
    <w:rsid w:val="0B3C7868"/>
    <w:rsid w:val="0BA93184"/>
    <w:rsid w:val="0BB475C5"/>
    <w:rsid w:val="0BD8751A"/>
    <w:rsid w:val="0DEF5052"/>
    <w:rsid w:val="0E2E7F00"/>
    <w:rsid w:val="0E383480"/>
    <w:rsid w:val="0E3C4795"/>
    <w:rsid w:val="0E610C00"/>
    <w:rsid w:val="0FCF5CDB"/>
    <w:rsid w:val="100135FB"/>
    <w:rsid w:val="109E3774"/>
    <w:rsid w:val="10AF0FD8"/>
    <w:rsid w:val="119A5150"/>
    <w:rsid w:val="12610C70"/>
    <w:rsid w:val="131123C7"/>
    <w:rsid w:val="132A790C"/>
    <w:rsid w:val="13643AD4"/>
    <w:rsid w:val="1394751B"/>
    <w:rsid w:val="13C65C36"/>
    <w:rsid w:val="1425085B"/>
    <w:rsid w:val="14422A83"/>
    <w:rsid w:val="14F213DA"/>
    <w:rsid w:val="15D44EA8"/>
    <w:rsid w:val="162E1416"/>
    <w:rsid w:val="16472E33"/>
    <w:rsid w:val="166778CF"/>
    <w:rsid w:val="17361D27"/>
    <w:rsid w:val="179C2102"/>
    <w:rsid w:val="186D489F"/>
    <w:rsid w:val="18C52534"/>
    <w:rsid w:val="1919360E"/>
    <w:rsid w:val="19223AFA"/>
    <w:rsid w:val="1A7567BA"/>
    <w:rsid w:val="1C244B29"/>
    <w:rsid w:val="1C732305"/>
    <w:rsid w:val="1D362B97"/>
    <w:rsid w:val="1D7155CA"/>
    <w:rsid w:val="1D777605"/>
    <w:rsid w:val="1DD47436"/>
    <w:rsid w:val="1F4E0DA1"/>
    <w:rsid w:val="1FF447B3"/>
    <w:rsid w:val="215C7154"/>
    <w:rsid w:val="2178450C"/>
    <w:rsid w:val="218E602D"/>
    <w:rsid w:val="219A33D3"/>
    <w:rsid w:val="23472FAA"/>
    <w:rsid w:val="2372088B"/>
    <w:rsid w:val="244B151E"/>
    <w:rsid w:val="246369D6"/>
    <w:rsid w:val="246C515B"/>
    <w:rsid w:val="248B39DD"/>
    <w:rsid w:val="25334A00"/>
    <w:rsid w:val="25655CF3"/>
    <w:rsid w:val="259F55C7"/>
    <w:rsid w:val="25A511D5"/>
    <w:rsid w:val="25B1005C"/>
    <w:rsid w:val="25E46312"/>
    <w:rsid w:val="266E6B01"/>
    <w:rsid w:val="26E2708E"/>
    <w:rsid w:val="279D26C9"/>
    <w:rsid w:val="2881366F"/>
    <w:rsid w:val="2A656A41"/>
    <w:rsid w:val="2AAF4E03"/>
    <w:rsid w:val="2AD02279"/>
    <w:rsid w:val="2B3F4F3E"/>
    <w:rsid w:val="2C8D3B32"/>
    <w:rsid w:val="2CE00DFF"/>
    <w:rsid w:val="2D164272"/>
    <w:rsid w:val="2D176C36"/>
    <w:rsid w:val="2D9C1529"/>
    <w:rsid w:val="2DA663D2"/>
    <w:rsid w:val="2DE40C0C"/>
    <w:rsid w:val="2F3B17F5"/>
    <w:rsid w:val="2F6758A6"/>
    <w:rsid w:val="2FDC4541"/>
    <w:rsid w:val="30284F45"/>
    <w:rsid w:val="305C6456"/>
    <w:rsid w:val="30611754"/>
    <w:rsid w:val="306F5DB4"/>
    <w:rsid w:val="308D0829"/>
    <w:rsid w:val="30C93759"/>
    <w:rsid w:val="31501B13"/>
    <w:rsid w:val="320E5EDE"/>
    <w:rsid w:val="3273001E"/>
    <w:rsid w:val="32C203D3"/>
    <w:rsid w:val="32C46223"/>
    <w:rsid w:val="33C92A6F"/>
    <w:rsid w:val="35775FB6"/>
    <w:rsid w:val="35833C1B"/>
    <w:rsid w:val="35B266ED"/>
    <w:rsid w:val="36A43746"/>
    <w:rsid w:val="36B06D63"/>
    <w:rsid w:val="36E07F27"/>
    <w:rsid w:val="36E13038"/>
    <w:rsid w:val="372A5663"/>
    <w:rsid w:val="37716B3F"/>
    <w:rsid w:val="37A528E1"/>
    <w:rsid w:val="38CC75AE"/>
    <w:rsid w:val="38D92FBB"/>
    <w:rsid w:val="39003B08"/>
    <w:rsid w:val="3A1D748B"/>
    <w:rsid w:val="3AD9203D"/>
    <w:rsid w:val="3B330A45"/>
    <w:rsid w:val="3BC00726"/>
    <w:rsid w:val="3C104D35"/>
    <w:rsid w:val="3C4426D6"/>
    <w:rsid w:val="3C6C1099"/>
    <w:rsid w:val="3D6429E6"/>
    <w:rsid w:val="3DFF10BA"/>
    <w:rsid w:val="3E19033C"/>
    <w:rsid w:val="3E317859"/>
    <w:rsid w:val="3E4E59C3"/>
    <w:rsid w:val="3E9A1E28"/>
    <w:rsid w:val="3F25380F"/>
    <w:rsid w:val="405150EA"/>
    <w:rsid w:val="41127DB1"/>
    <w:rsid w:val="41401CB1"/>
    <w:rsid w:val="415D23B7"/>
    <w:rsid w:val="41F25270"/>
    <w:rsid w:val="42114290"/>
    <w:rsid w:val="428B26BF"/>
    <w:rsid w:val="44B9171A"/>
    <w:rsid w:val="46163048"/>
    <w:rsid w:val="46741EA7"/>
    <w:rsid w:val="4691373F"/>
    <w:rsid w:val="489611F0"/>
    <w:rsid w:val="48B81AF9"/>
    <w:rsid w:val="496765C6"/>
    <w:rsid w:val="49C40003"/>
    <w:rsid w:val="4A320F3C"/>
    <w:rsid w:val="4A9A083D"/>
    <w:rsid w:val="4AC04FF6"/>
    <w:rsid w:val="4AD7005C"/>
    <w:rsid w:val="4B3A1C5E"/>
    <w:rsid w:val="4DB37968"/>
    <w:rsid w:val="4E01312A"/>
    <w:rsid w:val="4F7432AF"/>
    <w:rsid w:val="4FAD558E"/>
    <w:rsid w:val="4FE57BFD"/>
    <w:rsid w:val="4FE84871"/>
    <w:rsid w:val="4FF63AD2"/>
    <w:rsid w:val="508D56C0"/>
    <w:rsid w:val="51581C17"/>
    <w:rsid w:val="52A145F5"/>
    <w:rsid w:val="52FC2E68"/>
    <w:rsid w:val="54BE08DF"/>
    <w:rsid w:val="55BD5E1A"/>
    <w:rsid w:val="55E04ECE"/>
    <w:rsid w:val="55E553D1"/>
    <w:rsid w:val="56246C81"/>
    <w:rsid w:val="56313701"/>
    <w:rsid w:val="567D1702"/>
    <w:rsid w:val="5784013D"/>
    <w:rsid w:val="57CE6E4A"/>
    <w:rsid w:val="580E24AC"/>
    <w:rsid w:val="59370C36"/>
    <w:rsid w:val="597D596E"/>
    <w:rsid w:val="59BA7BFB"/>
    <w:rsid w:val="59BF373E"/>
    <w:rsid w:val="5A3D230E"/>
    <w:rsid w:val="5A4C11AA"/>
    <w:rsid w:val="5A663180"/>
    <w:rsid w:val="5AD908AC"/>
    <w:rsid w:val="5B95433D"/>
    <w:rsid w:val="5BC71D69"/>
    <w:rsid w:val="5BF449D4"/>
    <w:rsid w:val="5C1A5F26"/>
    <w:rsid w:val="5C57208C"/>
    <w:rsid w:val="5CF00A14"/>
    <w:rsid w:val="5DB747F5"/>
    <w:rsid w:val="5E383B71"/>
    <w:rsid w:val="5E8604BF"/>
    <w:rsid w:val="5F255155"/>
    <w:rsid w:val="5F442C0B"/>
    <w:rsid w:val="5FB35E41"/>
    <w:rsid w:val="5FFD0939"/>
    <w:rsid w:val="60EA6E9B"/>
    <w:rsid w:val="610720C8"/>
    <w:rsid w:val="61953C22"/>
    <w:rsid w:val="61F65AE0"/>
    <w:rsid w:val="630634F6"/>
    <w:rsid w:val="63212E76"/>
    <w:rsid w:val="639B5AE7"/>
    <w:rsid w:val="645052A4"/>
    <w:rsid w:val="651745D4"/>
    <w:rsid w:val="656D25E1"/>
    <w:rsid w:val="65992426"/>
    <w:rsid w:val="66290486"/>
    <w:rsid w:val="6670337E"/>
    <w:rsid w:val="668B1BB1"/>
    <w:rsid w:val="66D55009"/>
    <w:rsid w:val="67154921"/>
    <w:rsid w:val="67265DFC"/>
    <w:rsid w:val="677278CF"/>
    <w:rsid w:val="6801081E"/>
    <w:rsid w:val="682B0861"/>
    <w:rsid w:val="68502CE1"/>
    <w:rsid w:val="69950226"/>
    <w:rsid w:val="69C66EBE"/>
    <w:rsid w:val="6A761F6B"/>
    <w:rsid w:val="6AAF1D52"/>
    <w:rsid w:val="6B2C0D15"/>
    <w:rsid w:val="6B843E8B"/>
    <w:rsid w:val="6BD46580"/>
    <w:rsid w:val="6C242610"/>
    <w:rsid w:val="6C563823"/>
    <w:rsid w:val="6C94271B"/>
    <w:rsid w:val="6D116ADC"/>
    <w:rsid w:val="6D7973F2"/>
    <w:rsid w:val="6F5560CF"/>
    <w:rsid w:val="6F6421D4"/>
    <w:rsid w:val="6F954973"/>
    <w:rsid w:val="6FD301CC"/>
    <w:rsid w:val="70EC0BAD"/>
    <w:rsid w:val="712B5467"/>
    <w:rsid w:val="71B1551F"/>
    <w:rsid w:val="71E20075"/>
    <w:rsid w:val="722A6834"/>
    <w:rsid w:val="726B2B60"/>
    <w:rsid w:val="727323C6"/>
    <w:rsid w:val="739B25B0"/>
    <w:rsid w:val="74184884"/>
    <w:rsid w:val="76102040"/>
    <w:rsid w:val="771C2890"/>
    <w:rsid w:val="77371220"/>
    <w:rsid w:val="780E5921"/>
    <w:rsid w:val="781A180D"/>
    <w:rsid w:val="78C81752"/>
    <w:rsid w:val="79B12D4A"/>
    <w:rsid w:val="7B3405E5"/>
    <w:rsid w:val="7B562D92"/>
    <w:rsid w:val="7B7162B0"/>
    <w:rsid w:val="7C24785F"/>
    <w:rsid w:val="7CC171FD"/>
    <w:rsid w:val="7CC5599A"/>
    <w:rsid w:val="7D0B478D"/>
    <w:rsid w:val="7E930677"/>
    <w:rsid w:val="7F3D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叶志超</cp:lastModifiedBy>
  <cp:lastPrinted>2021-12-13T02:42:00Z</cp:lastPrinted>
  <dcterms:modified xsi:type="dcterms:W3CDTF">2021-12-16T07:15:32Z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