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90"/>
        </w:tabs>
        <w:spacing w:line="360" w:lineRule="auto"/>
        <w:jc w:val="center"/>
        <w:rPr>
          <w:rFonts w:hint="eastAsia" w:ascii="仿宋_GB2312" w:eastAsia="仿宋_GB2312"/>
          <w:b/>
          <w:snapToGrid w:val="0"/>
          <w:spacing w:val="0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napToGrid w:val="0"/>
          <w:spacing w:val="0"/>
          <w:kern w:val="0"/>
          <w:sz w:val="44"/>
          <w:szCs w:val="44"/>
          <w:lang w:val="en-US" w:eastAsia="zh-CN"/>
        </w:rPr>
        <w:t>佛山</w:t>
      </w:r>
      <w:r>
        <w:rPr>
          <w:rFonts w:hint="eastAsia" w:ascii="华文中宋" w:hAnsi="华文中宋" w:eastAsia="华文中宋" w:cs="华文中宋"/>
          <w:b w:val="0"/>
          <w:bCs/>
          <w:snapToGrid w:val="0"/>
          <w:spacing w:val="0"/>
          <w:kern w:val="0"/>
          <w:sz w:val="44"/>
          <w:szCs w:val="44"/>
          <w:lang w:eastAsia="zh-CN"/>
        </w:rPr>
        <w:t>高明珠江货运码头</w:t>
      </w:r>
      <w:r>
        <w:rPr>
          <w:rFonts w:hint="eastAsia" w:ascii="华文中宋" w:hAnsi="华文中宋" w:eastAsia="华文中宋" w:cs="华文中宋"/>
          <w:b w:val="0"/>
          <w:bCs/>
          <w:snapToGrid w:val="0"/>
          <w:spacing w:val="0"/>
          <w:kern w:val="0"/>
          <w:sz w:val="44"/>
          <w:szCs w:val="44"/>
        </w:rPr>
        <w:t>有限公司</w:t>
      </w:r>
      <w:r>
        <w:rPr>
          <w:rFonts w:hint="eastAsia" w:ascii="华文中宋" w:hAnsi="华文中宋" w:eastAsia="华文中宋" w:cs="华文中宋"/>
          <w:b w:val="0"/>
          <w:bCs/>
          <w:snapToGrid w:val="0"/>
          <w:spacing w:val="0"/>
          <w:kern w:val="0"/>
          <w:sz w:val="44"/>
          <w:szCs w:val="44"/>
          <w:lang w:eastAsia="zh-CN"/>
        </w:rPr>
        <w:t>商务部</w:t>
      </w:r>
      <w:r>
        <w:rPr>
          <w:rFonts w:hint="eastAsia" w:ascii="华文中宋" w:hAnsi="华文中宋" w:eastAsia="华文中宋" w:cs="华文中宋"/>
          <w:b w:val="0"/>
          <w:bCs/>
          <w:snapToGrid w:val="0"/>
          <w:spacing w:val="0"/>
          <w:kern w:val="0"/>
          <w:sz w:val="44"/>
          <w:szCs w:val="44"/>
        </w:rPr>
        <w:t>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  <w:t>战疫大考显担当，先锋示范助复产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佛山高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明珠江货运码头有限公司商务部（下称“商务部”）现有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  <w:lang w:eastAsia="zh-CN"/>
        </w:rPr>
        <w:t>职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工10名，其中正式党员3名，预备党员1名，在疫情最为严峻的时刻，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  <w:lang w:eastAsia="zh-CN"/>
        </w:rPr>
        <w:t>为保障民生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必需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  <w:lang w:eastAsia="zh-CN"/>
        </w:rPr>
        <w:t>品的运输，商务部迅速制定多项防疫应急方案，在党员干部带领下，于2020年初七复工复产，并先后推出减免外贸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客户重箱库场使用费及九五折拖车收费等优惠措施，累计为客户减免经营成本约220万元，用实际的行动履行国企担当。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  <w:t>二、多元经营促转型，聚焦三创出成效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0"/>
          <w:sz w:val="30"/>
          <w:szCs w:val="30"/>
        </w:rPr>
        <w:t>面对疫情，商务部多方筹划，多元经营，</w:t>
      </w: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  <w:t>经营业绩跑赢同行。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1.变更经营范围，开展货运代理、代办进出口报关等综合物流服务，2020年（下称全年），</w:t>
      </w:r>
      <w:r>
        <w:rPr>
          <w:rFonts w:hint="eastAsia" w:ascii="仿宋" w:hAnsi="仿宋" w:eastAsia="仿宋" w:cs="仿宋"/>
          <w:b/>
          <w:snapToGrid w:val="0"/>
          <w:spacing w:val="0"/>
          <w:kern w:val="0"/>
          <w:sz w:val="30"/>
          <w:szCs w:val="30"/>
        </w:rPr>
        <w:t>创收906万元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2.稳住外贸，拓展内贸。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全年累计完成外贸进口重柜2.90万标准箱，</w:t>
      </w:r>
      <w:r>
        <w:rPr>
          <w:rFonts w:hint="eastAsia" w:ascii="仿宋" w:hAnsi="仿宋" w:eastAsia="仿宋" w:cs="仿宋"/>
          <w:b/>
          <w:snapToGrid w:val="0"/>
          <w:spacing w:val="0"/>
          <w:kern w:val="0"/>
          <w:sz w:val="30"/>
          <w:szCs w:val="30"/>
        </w:rPr>
        <w:t>同比上升37.92%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;完成内贸集装箱吞吐量11.66万标准箱，</w:t>
      </w:r>
      <w:r>
        <w:rPr>
          <w:rFonts w:hint="eastAsia" w:ascii="仿宋" w:hAnsi="仿宋" w:eastAsia="仿宋" w:cs="仿宋"/>
          <w:b/>
          <w:snapToGrid w:val="0"/>
          <w:spacing w:val="0"/>
          <w:kern w:val="0"/>
          <w:sz w:val="30"/>
          <w:szCs w:val="30"/>
        </w:rPr>
        <w:t>创收1305万元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3.成立自有车队，搭建车队统筹和调度中心。全年承接3.71万标准箱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同比</w:t>
      </w:r>
      <w:r>
        <w:rPr>
          <w:rFonts w:hint="eastAsia" w:ascii="仿宋" w:hAnsi="仿宋" w:eastAsia="仿宋" w:cs="仿宋"/>
          <w:b/>
          <w:bCs w:val="0"/>
          <w:snapToGrid w:val="0"/>
          <w:spacing w:val="0"/>
          <w:kern w:val="0"/>
          <w:sz w:val="30"/>
          <w:szCs w:val="30"/>
        </w:rPr>
        <w:t>增长72%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，</w:t>
      </w:r>
      <w:r>
        <w:rPr>
          <w:rFonts w:hint="eastAsia" w:ascii="仿宋" w:hAnsi="仿宋" w:eastAsia="仿宋" w:cs="仿宋"/>
          <w:b/>
          <w:bCs w:val="0"/>
          <w:snapToGrid w:val="0"/>
          <w:spacing w:val="0"/>
          <w:kern w:val="0"/>
          <w:sz w:val="30"/>
          <w:szCs w:val="30"/>
        </w:rPr>
        <w:t>创收1127万元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，同比</w:t>
      </w:r>
      <w:r>
        <w:rPr>
          <w:rFonts w:hint="eastAsia" w:ascii="仿宋" w:hAnsi="仿宋" w:eastAsia="仿宋" w:cs="仿宋"/>
          <w:b/>
          <w:bCs w:val="0"/>
          <w:snapToGrid w:val="0"/>
          <w:spacing w:val="0"/>
          <w:kern w:val="0"/>
          <w:sz w:val="30"/>
          <w:szCs w:val="30"/>
        </w:rPr>
        <w:t>增长84%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4.研究政策导向，优化货源结构。引进木方、棉纱等厂贸货源,全年</w:t>
      </w:r>
      <w:r>
        <w:rPr>
          <w:rFonts w:hint="eastAsia" w:ascii="仿宋" w:hAnsi="仿宋" w:eastAsia="仿宋" w:cs="仿宋"/>
          <w:b/>
          <w:snapToGrid w:val="0"/>
          <w:spacing w:val="0"/>
          <w:kern w:val="0"/>
          <w:sz w:val="30"/>
          <w:szCs w:val="30"/>
        </w:rPr>
        <w:t>创收814万元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，</w:t>
      </w:r>
      <w:r>
        <w:rPr>
          <w:rFonts w:hint="eastAsia" w:ascii="仿宋" w:hAnsi="仿宋" w:eastAsia="仿宋" w:cs="仿宋"/>
          <w:bCs/>
          <w:snapToGrid w:val="0"/>
          <w:color w:val="auto"/>
          <w:spacing w:val="0"/>
          <w:kern w:val="0"/>
          <w:sz w:val="30"/>
          <w:szCs w:val="30"/>
        </w:rPr>
        <w:t>同比</w:t>
      </w:r>
      <w:r>
        <w:rPr>
          <w:rFonts w:hint="eastAsia" w:ascii="仿宋" w:hAnsi="仿宋" w:eastAsia="仿宋" w:cs="仿宋"/>
          <w:b/>
          <w:bCs w:val="0"/>
          <w:snapToGrid w:val="0"/>
          <w:color w:val="auto"/>
          <w:spacing w:val="0"/>
          <w:kern w:val="0"/>
          <w:sz w:val="30"/>
          <w:szCs w:val="30"/>
        </w:rPr>
        <w:t>增长197%</w:t>
      </w:r>
      <w:r>
        <w:rPr>
          <w:rFonts w:hint="eastAsia" w:ascii="仿宋" w:hAnsi="仿宋" w:eastAsia="仿宋" w:cs="仿宋"/>
          <w:bCs/>
          <w:snapToGrid w:val="0"/>
          <w:color w:val="auto"/>
          <w:spacing w:val="0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snapToGrid w:val="0"/>
          <w:spacing w:val="0"/>
          <w:kern w:val="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sz w:val="30"/>
          <w:szCs w:val="30"/>
        </w:rPr>
        <w:t>三、真抓实干谋发展，创新引领破难题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1.携手广铁集团，</w:t>
      </w:r>
      <w:r>
        <w:rPr>
          <w:rFonts w:hint="eastAsia" w:ascii="仿宋" w:hAnsi="仿宋" w:eastAsia="仿宋" w:cs="仿宋"/>
          <w:b/>
          <w:snapToGrid w:val="0"/>
          <w:color w:val="000000"/>
          <w:spacing w:val="0"/>
          <w:kern w:val="0"/>
          <w:sz w:val="30"/>
          <w:szCs w:val="30"/>
        </w:rPr>
        <w:t>开通铁水联运，突破运输网络壁垒</w:t>
      </w: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。开通一体化铁水联运新通道，发挥了经济、社会双重效益。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2.适应新形势新需求，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sz w:val="30"/>
          <w:szCs w:val="30"/>
        </w:rPr>
        <w:t>提高通关时效。</w:t>
      </w: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成功设立佛山地区</w:t>
      </w:r>
      <w:r>
        <w:rPr>
          <w:rFonts w:hint="eastAsia" w:ascii="仿宋" w:hAnsi="仿宋" w:eastAsia="仿宋" w:cs="仿宋"/>
          <w:b/>
          <w:snapToGrid w:val="0"/>
          <w:color w:val="000000"/>
          <w:spacing w:val="0"/>
          <w:kern w:val="0"/>
          <w:sz w:val="30"/>
          <w:szCs w:val="30"/>
        </w:rPr>
        <w:t>首个</w:t>
      </w: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公用型保税仓。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3.抢抓建设佛山跨境电子商务综合试验区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的机遇，携手中通开展跨境电商业务，开通佛山制造—跨境电商水运进出口的</w:t>
      </w:r>
      <w:r>
        <w:rPr>
          <w:rFonts w:hint="eastAsia" w:ascii="仿宋" w:hAnsi="仿宋" w:eastAsia="仿宋" w:cs="仿宋"/>
          <w:b/>
          <w:snapToGrid w:val="0"/>
          <w:spacing w:val="0"/>
          <w:kern w:val="0"/>
          <w:sz w:val="30"/>
          <w:szCs w:val="30"/>
        </w:rPr>
        <w:t>新型通关模式</w:t>
      </w: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bCs/>
          <w:snapToGrid w:val="0"/>
          <w:color w:val="000000"/>
          <w:spacing w:val="0"/>
          <w:kern w:val="0"/>
          <w:sz w:val="30"/>
          <w:szCs w:val="30"/>
        </w:rPr>
        <w:t>开展</w:t>
      </w:r>
      <w:r>
        <w:rPr>
          <w:rFonts w:hint="eastAsia" w:ascii="仿宋" w:hAnsi="仿宋" w:eastAsia="仿宋" w:cs="仿宋"/>
          <w:b/>
          <w:snapToGrid w:val="0"/>
          <w:color w:val="000000"/>
          <w:spacing w:val="0"/>
          <w:kern w:val="0"/>
          <w:sz w:val="30"/>
          <w:szCs w:val="30"/>
        </w:rPr>
        <w:t>内外贸互联互通、进口内河转关、深圳陆改水运输等多项创新、特色服务，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sz w:val="30"/>
          <w:szCs w:val="30"/>
        </w:rPr>
        <w:t>提升客户服务体验。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85"/>
        <w:textAlignment w:val="auto"/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napToGrid w:val="0"/>
          <w:spacing w:val="0"/>
          <w:kern w:val="0"/>
          <w:sz w:val="30"/>
          <w:szCs w:val="30"/>
        </w:rPr>
        <w:t>2020年，商务部全体员工在公司经营班子的带领下，积极投身“二次创业”的浪潮，营业收入等核心指标逆势上扬，为高明码头“十四五”开好头，起好步奠定坚实基础。</w:t>
      </w:r>
    </w:p>
    <w:sectPr>
      <w:pgSz w:w="11906" w:h="16838"/>
      <w:pgMar w:top="1327" w:right="1519" w:bottom="1213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AE"/>
    <w:rsid w:val="000A6771"/>
    <w:rsid w:val="002E0310"/>
    <w:rsid w:val="004247A8"/>
    <w:rsid w:val="005D2984"/>
    <w:rsid w:val="006700DC"/>
    <w:rsid w:val="006C25D7"/>
    <w:rsid w:val="007A2105"/>
    <w:rsid w:val="00836C8E"/>
    <w:rsid w:val="008A29B5"/>
    <w:rsid w:val="00C739B0"/>
    <w:rsid w:val="00D40AAE"/>
    <w:rsid w:val="01AC5282"/>
    <w:rsid w:val="031D14BE"/>
    <w:rsid w:val="06CE1745"/>
    <w:rsid w:val="0F442807"/>
    <w:rsid w:val="116A71C0"/>
    <w:rsid w:val="175B035C"/>
    <w:rsid w:val="18AF5263"/>
    <w:rsid w:val="1C802050"/>
    <w:rsid w:val="1D33708C"/>
    <w:rsid w:val="1EBF260E"/>
    <w:rsid w:val="23CE0CF3"/>
    <w:rsid w:val="266D590F"/>
    <w:rsid w:val="274D7A71"/>
    <w:rsid w:val="29FD54D4"/>
    <w:rsid w:val="2AEF6775"/>
    <w:rsid w:val="2BC508F6"/>
    <w:rsid w:val="2CD91050"/>
    <w:rsid w:val="312D0361"/>
    <w:rsid w:val="32142F7B"/>
    <w:rsid w:val="3266491A"/>
    <w:rsid w:val="37165391"/>
    <w:rsid w:val="37EB2AF9"/>
    <w:rsid w:val="38722FD8"/>
    <w:rsid w:val="396A37D6"/>
    <w:rsid w:val="3C3F2D3B"/>
    <w:rsid w:val="3CA867E9"/>
    <w:rsid w:val="3EFA5084"/>
    <w:rsid w:val="45474453"/>
    <w:rsid w:val="476D5AA1"/>
    <w:rsid w:val="47B72870"/>
    <w:rsid w:val="4A150E3D"/>
    <w:rsid w:val="4FF13A94"/>
    <w:rsid w:val="51D249C8"/>
    <w:rsid w:val="5426214E"/>
    <w:rsid w:val="552B21A2"/>
    <w:rsid w:val="578B13BE"/>
    <w:rsid w:val="5ABB74A7"/>
    <w:rsid w:val="5B3C3192"/>
    <w:rsid w:val="605C146F"/>
    <w:rsid w:val="622C7BB2"/>
    <w:rsid w:val="64505694"/>
    <w:rsid w:val="65307C97"/>
    <w:rsid w:val="675B1954"/>
    <w:rsid w:val="6D220D86"/>
    <w:rsid w:val="73D83406"/>
    <w:rsid w:val="74FD0B9D"/>
    <w:rsid w:val="784570B3"/>
    <w:rsid w:val="7B245CA3"/>
    <w:rsid w:val="7CAF7298"/>
    <w:rsid w:val="7D0D0293"/>
    <w:rsid w:val="7DF5445C"/>
    <w:rsid w:val="7FE02F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610</Characters>
  <Lines>5</Lines>
  <Paragraphs>1</Paragraphs>
  <TotalTime>5</TotalTime>
  <ScaleCrop>false</ScaleCrop>
  <LinksUpToDate>false</LinksUpToDate>
  <CharactersWithSpaces>715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2021-03-03T09:31:00Z</dcterms:created>
  <dc:creator>User</dc:creator>
  <cp:lastModifiedBy>menge</cp:lastModifiedBy>
  <cp:lastPrinted>2021-03-08T09:20:00Z</cp:lastPrinted>
  <dcterms:modified xsi:type="dcterms:W3CDTF">2021-03-27T15:36:57Z</dcterms:modified>
  <dc:title>佛山高明珠江货运码头有限公司商务部先进事迹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