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20"/>
        </w:rPr>
        <w:t>广州港新沙区11号12号通用泊位及驳船泊位工程存在的主要问题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472"/>
        <w:gridCol w:w="7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问题类别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责任主体及类别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广州港新沙港务有限公司/项目单位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未进行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工程保证金等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资金专项清理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质量保证金及履约保函同时存在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；未建立农民工工资管理制度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招标投标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广州港新沙港务有限公司/项目单位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广州港工程管理有限公司/监理单位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监理合同签订时间不规范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广州港新沙港务有限公司/项目单位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质量管理制度针对性不强，未按标准化指南的要求编制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广州港新沙港务有限公司/项目单位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单位、分部、分项工程没有报送质量监督部门备案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广州港新沙港务有限公司/项目单位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混凝土结构实体验证性检测程序不够完善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广州港工程管理有限公司/监理单位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监理工作制度没有汇编，质量管理制度不完善，监理实施细则不完善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广州港工程管理有限公司/监理单位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安全责任书未能每年一签，未能按具体岗位明确岗位职责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广州港工程管理有限公司/监理单位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旁站记录不及时，未能提供完整的最近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水稳层平行试验检测有做压实度检测，未做无侧限抗压强度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与施工单位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的年度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项目机构成立及公章启用只有建设管理单位批复意见，未见项目单位批复意见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项目经理及项目技术负责人变更只有建设管理单位批复意见，未见项目单位批复文件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施工组织设计没有单位具体审查意见，同时施工组织设计中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的规范未及时更新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部分管理人员没有变更前已经行使签名权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变更手续不及时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部分工伤保险、意外团体险由第三方购买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胸墙施工现场缺少胸墙施工危险源告知牌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建筑工人维权告示牌未及时更新公示建筑工人工资支付情况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中交第四航务工程勘察设计院有限公司/勘察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提供的控制点成果不规范，未标明控制点等级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广州港湾工程质量检测有限公司/检测单位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试验检测报告未根据最新规范标准要求进行编制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编号第21段的胸墙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剩余面层未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浇筑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，钢筋表面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未及时清理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、未及时进行凿毛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现场1台履带吊机未悬挂“三证”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钢筋半成品堆放在砂上，支垫不规范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沉降位移观测记录不规范，个别点位未见连续观测记录</w:t>
            </w: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2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广州港南沙港区近洋码头工程存在的主要问题</w:t>
      </w:r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28"/>
        <w:gridCol w:w="4566"/>
        <w:gridCol w:w="7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问题类别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责任主体及类别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招标投标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中交一航局五公司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施工合同签订时间不规范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预付款保函、质量保证金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履约保函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安全保证金等，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未进行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工程建设领域保证金等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资金专项清理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；未建立农民工工资管理制度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混凝土结构实体验证性检测程序不够完善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质量管理制度针对性不强，未按标准化指南的要求编制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未对监理主要人员进行履约考勤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广州近洋港口经营有限公司/项目单位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未对软基处理监测方案进行审批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中交四航局港湾工程设计院/设计单位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未完善项目负责人变更手续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未对施工组织设计（2018.8.5及2019.6.22两个版本）中的安全措施进行专项审查并出具专项审查意见。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测量监理工程师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长期不在岗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安全责任书欠规范，没有区分具体岗位的安全职责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制度未汇编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欠缺部分制度，如监理人员考核制度、特种设备复核制度、计量支付管理制度、平安工地考核制度等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监理日志记录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完善，未能反映监理通知单的内容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周检安全检查由监理员主持并记录，不符合规范要求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“平安工地”考核评价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自评工作，考核中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有整改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闭合资料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缺少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测量控制点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独立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复核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广州华申建设工程管理有限公司/监理单位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沉箱安装已开工，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开工报告批复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项目机构成立及公章启用未有项目单位批复意见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诚信履约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经项目单位现场管理机构同意，除项目经理外其他人员发生变更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诚信履约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投标承诺关键自有设备到位率50%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项目技术负责人变更未有项目单位批复文件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施工组织设计（2018.8.5版本）中采用单位审查意见（2017.10），而施工组织设计（2019.6.22版本）没有单位审查意见，同时施工组织设计中过期的规范未及时更新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广州港湾工程质量检测有限公司/检测单位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试验检测报告未根据最新规范标准要求进行编制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未建立农民工工资保障制度，未缴纳农民工工资保障金，农民工工资未实行银行代发工资制度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临时用电方案未经单位技术负责人审批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项目经理与单位签订安全责任书不规范，未签订具体时间及起止时间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生产安全事故综合应救援预案、危险源辨识、评价及控制方案等相关资料滞后于开工时间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应急演练方案及总结等未报监理机构及项目业主审批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预制沉箱CX1-18号的混凝土质量评定不规范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吹填施工现场未有吹填工程危险源告知牌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中铁广州工程局集团有限公司/施工单位</w:t>
            </w:r>
          </w:p>
        </w:tc>
        <w:tc>
          <w:tcPr>
            <w:tcW w:w="7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现场未悬挂建筑工人维权告示牌</w:t>
            </w:r>
          </w:p>
        </w:tc>
      </w:tr>
    </w:tbl>
    <w:p>
      <w:r>
        <w:br w:type="page"/>
      </w: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深汕特别合作区小漠国际物流港一期工程存在的主要问题</w:t>
      </w:r>
    </w:p>
    <w:tbl>
      <w:tblPr>
        <w:tblStyle w:val="5"/>
        <w:tblW w:w="141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14"/>
        <w:gridCol w:w="4939"/>
        <w:gridCol w:w="7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问题类别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责任主体及类别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违规行为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基建程序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设计审批尚未完善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就已开工建设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招投标程序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初步设计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审批尚未完善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监理及EPC总承包单位招标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招投标程序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监理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合同及EPC总承包合同签订时间不规范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未按相关要求组建管理机构，管理制度未按标准化指南要求汇编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未对监理人员履约考核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项目单位采用两个公章，但未有各公章的使用管理规定及使用权限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项目单位未及时审批有关文件，如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编号为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XMGYQ-FHDI-RYBG-001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的文件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广东盐田港深汕港口投资有限公司/项目单位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未进行工程建设领域保证金等资金专项清理，质量保证金及履约保函同时存在；未建立农民工工资管理制度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部分监理人员资质条件不满足规范要求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部分资料由不具备水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运专业监理工程师资格的人员进行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更改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有关监理及施工用表，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总监理工程师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签认改由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总监代表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未对施工组织设计中的安全措施进行专项审查，并出具专项审查意见。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监理日志记录不规范，未记录检查中发现的质量安全问题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部分监理通知单指出的问题未整改落实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旁站监理记录流于形式，缺检查数据、发现问题及处理情况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监理制度没有汇编，部分制度内容过于简单，个别制度缺失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安全监理日志未由安全监理工程师记录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诚信履约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投标承诺人员10人，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到位人员2人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承诺投入设备5艘，实际进场施工1艘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b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机构成立及公章启用未有项目单位批复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项目总负责人、项目经理及项目技术负责人变更未有项目单位批复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未按合同约定到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建设行政主管部门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施工组织设计未经单位技术负责人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施工图设计交底文件中部分技术指标与图纸不一致，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部分图纸审定栏存在未签名现象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设计工程联系单所附的设计图纸未施盖“设计出图专用章”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中交第四航务工程勘察设计院有限公司/施工总包单位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开工报审表审查不严格，如施工测量控制点核验、施工许可证办理时间滞后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中交一航局第五工程有限公司/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分包单位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沉箱安装后，预留外伸钢筋被碰损后未及时修复；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码头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胸墙裂缝较多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混凝土结合面凿毛不规范；现浇轨道梁预留钢筋锈蚀严重；钢筋直螺纹套筒连接丝头未设保护措施，端口未镦平；模板拉杆钢筋头未处理；三级电箱与作业设备距离不满足要求；码头电缆槽分隔钢板个别位置错台大；沉降缝填充材料不规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中交一航局第五工程有限公司/分包单位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深圳市东鹏工程建设监理有限公司/监理单位</w:t>
            </w:r>
          </w:p>
        </w:tc>
        <w:tc>
          <w:tcPr>
            <w:tcW w:w="71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保护层垫块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没有抽样检验资料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深圳液化天然气应急调峰站项目配套码头工程存在的主要问题</w:t>
      </w:r>
    </w:p>
    <w:tbl>
      <w:tblPr>
        <w:tblStyle w:val="5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7"/>
        <w:gridCol w:w="4973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问题类别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责任主体及类别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中国石化天然气股份有限公司深圳液化天然气项目经理部/项目单位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工程建设领域保证金等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资金专项清理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质量保证金及履约保函同时存在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；未建立农民工工资管理制度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中国石化天然气股份有限公司深圳液化天然气项目经理部/项目单位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工程测量控制点验收记录未签名确认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诚信履约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11人，实际到位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人，变更9人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人员履约差；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专业监理工程师苏千立长期不在岗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未对施工组织设计中的安全措施进行专项审查，并出具专项审查意见。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总监代表职称为工程师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不满足交通运输部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令</w:t>
            </w:r>
            <w:r>
              <w:rPr>
                <w:rFonts w:hint="eastAsia" w:ascii="仿宋" w:hAnsi="仿宋" w:eastAsia="仿宋" w:cs="仿宋"/>
                <w:color w:val="2C2C2C"/>
                <w:sz w:val="24"/>
                <w:szCs w:val="24"/>
                <w:shd w:val="clear" w:color="auto" w:fill="FFFFFF"/>
              </w:rPr>
              <w:t>2015年第14号《关于修改〈水运工程施工监理规定（试行）〉的决定》的</w:t>
            </w:r>
            <w:r>
              <w:rPr>
                <w:rFonts w:hint="eastAsia" w:ascii="仿宋" w:hAnsi="仿宋" w:eastAsia="仿宋" w:cs="仿宋"/>
                <w:color w:val="2C2C2C"/>
                <w:sz w:val="24"/>
                <w:szCs w:val="24"/>
                <w:shd w:val="clear" w:color="auto" w:fill="FFFFFF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部分钢管桩沉桩检验批记录表中缺少监理抽检数据及监理意见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履约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资质较投标承诺有所降低，仅6人持交通运输部颁发的监理证，不符合招标文件的要求。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安全培训教育无培训资料，学习后没有进行考核，不符合培训制度的要求。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部分材料试验报告没有盖行业章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监理月报欠规范，存在的质量问题较笼统，通知单上的问题没有在月报上反映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安全责任书欠规范，未按具体岗位区分安全责任；总监曾建青、专业监理工程师苏千立、林镇汀未签订安全责任书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广州粤科工程建设监理咨询有限公司/监理单位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“平安工地”考核评价存在的问题没有整改闭合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诚信履约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投标承诺人员26人，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到位人员18人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项目机构成立及公章启用未有项目单位批复意见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项目总实施方案未见单位审查意见及单位技术负责人签名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项目经理、项目技术负责人及施工负责人变更未有项目单位批复文件。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项目总项目实施方案中编制依据的规范已经更新，但相关内容未及时更新。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中交第四航务工程勘察设计院有限公司/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EPC总承包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未见农民工工伤保险资料。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中交四航局二公司/施工分包单位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火炬平台引桥冲孔灌注桩停工时泥浆未循环；渣样留取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从业行为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中交四航局二公司/施工分包单位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钢筋连接丝头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端部未切平，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个别崩丝，无保护套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测量设备报验中的检测报告时间与报验时间相矛盾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缺水准高程成果验收记录表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测量控制成果方案编制报验时间晚于测量成果报验时间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部分灌注桩资料中的数据有误，需校核，同时入岩岩面标高监理工程师未确认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平台现场临时堆放钢筋未有受检标识牌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现场套筒连接的钢筋螺丝扣未保护，钢筋端口加工不规范，有的端口未磨平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部分安装好的套筒钢筋外露丝扣长度超规范要求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部分钢管桩上部连接钢筋加强箍的焊接不饱满，焊渣未处理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</w:t>
            </w:r>
          </w:p>
        </w:tc>
        <w:tc>
          <w:tcPr>
            <w:tcW w:w="49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中交四航局第二工程有限公司/分包单位</w:t>
            </w:r>
          </w:p>
        </w:tc>
        <w:tc>
          <w:tcPr>
            <w:tcW w:w="7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堆放在施工栈桥上的钢筋未标识，部分施工平台的踢脚板不规范，1台履带式起重机张贴的证书不齐全，平台上安全警示标志不足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深圳港妈湾港区海星码头1#-4#泊位改造工程存在的主要问题</w:t>
      </w:r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41"/>
        <w:gridCol w:w="450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问题类别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责任主体及类别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深圳海星港口发展有限公司/项目单位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改造项目的岸线使用审批手续尚未完善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深圳海星港口发展有限公司/项目单位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未进行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工程建设领域保证金等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资金专项清理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质量保证金及履约保函同时存在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；未建立农民工工资管理制度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招标投标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深圳海星港口发展有限公司/项目单位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初步设计招标在项目核准前就已开展、招标文件及招标结果未备案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深圳海星港口发展有限公司/项目单位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人员组织机构未按有关规定要求设置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中交第三航务工程勘察设计院有限公司/设计单位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部分设计变更联系单的图纸附件未盖“设计出图专用章”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未对施工组织设计中的安全措施进行专项审查，并出具专项审查意见。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未及时审批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，如工程开工报审表HY-SGKG-001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项目监理机构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组建滞后，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人员未经项目单位批复，公章未启用就对施工单位报送的20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7.9.18前的资料进行签名确认盖章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个别监理人员资格不满足交通运输部的要求，未办理进场审批手续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人员未签订安全责任书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检查制度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工程开工令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分项工程开工报告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时间上矛盾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平行抽检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试验报告未盖行业章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基层无侧限强度未平行抽检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诚信履约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投标承诺人员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部分变更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变更后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降低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投标承诺设备部分变更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项目机构成立及公章启用未有项目单位批复意见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项目经理及项目技术负责人变更未有项目单位批复文件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施工组织设计及临时用电方案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审批程序不规范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，同时施工组织设计中存在采用过期的规范标准现象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项目开工前的有关资料报送时间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早于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项目监理机构进场时间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人员进场三级安全教育培训不规范，未具体到个人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基建程序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深圳海星港口发展有限公司/项目单位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深圳海勤工程管理有限公司/监理单位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水上水下施工许可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办理时间滞后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码头前沿轨道梁钢筋部分钢筋焊接不饱满，焊渣未清除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码头面板钢筋与码头前沿轨道梁钢筋交接不成一条直线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中交第四航务工程局有限公司/施工单位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码头面照明灯面板破裂损坏，未进行有效遮挡防护。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诚信履约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投标承诺人员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到位率低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专业分包合同不是由中标单位签订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从业行为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未建立农民工工资管理制度，未提供意外伤害保险等资料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中交第三航务工程局有限公司/施工单位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码头后方陆域堆场轨道梁混凝土部分损坏，未进行有效保护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中交第三航务工程局有限公司/施工单位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道路堆场没有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沉降观测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中交第三航务工程局有限公司/施工单位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抽检轨道梁N4钢筋数量不足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钢筋被脱模剂污染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质量安全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中交第三航务工程局有限公司/施工单位</w:t>
            </w:r>
          </w:p>
        </w:tc>
        <w:tc>
          <w:tcPr>
            <w:tcW w:w="75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孔洞周边安全警示、防护措施不足</w:t>
            </w:r>
          </w:p>
        </w:tc>
      </w:tr>
    </w:tbl>
    <w:p>
      <w:r>
        <w:rPr>
          <w:rFonts w:hint="eastAsia"/>
          <w:sz w:val="28"/>
          <w:szCs w:val="28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D6E"/>
    <w:rsid w:val="03FC0C77"/>
    <w:rsid w:val="046100E4"/>
    <w:rsid w:val="05364DB6"/>
    <w:rsid w:val="0618774A"/>
    <w:rsid w:val="069100BB"/>
    <w:rsid w:val="0865458C"/>
    <w:rsid w:val="09D359B0"/>
    <w:rsid w:val="0C6E19FF"/>
    <w:rsid w:val="0EC945C6"/>
    <w:rsid w:val="0EEE219C"/>
    <w:rsid w:val="1B474267"/>
    <w:rsid w:val="1CDD3562"/>
    <w:rsid w:val="21194F60"/>
    <w:rsid w:val="21241712"/>
    <w:rsid w:val="23EC4C61"/>
    <w:rsid w:val="2A3473C5"/>
    <w:rsid w:val="326D6BCB"/>
    <w:rsid w:val="3378735D"/>
    <w:rsid w:val="356974BE"/>
    <w:rsid w:val="48BC1CC7"/>
    <w:rsid w:val="49C050FC"/>
    <w:rsid w:val="4AB9579A"/>
    <w:rsid w:val="50C10302"/>
    <w:rsid w:val="50EF2D92"/>
    <w:rsid w:val="53F03F25"/>
    <w:rsid w:val="574D22B1"/>
    <w:rsid w:val="5A9B34B3"/>
    <w:rsid w:val="5AAC50E0"/>
    <w:rsid w:val="5CE95D6E"/>
    <w:rsid w:val="61DF497B"/>
    <w:rsid w:val="6B630E29"/>
    <w:rsid w:val="6B83572E"/>
    <w:rsid w:val="6BB45EBC"/>
    <w:rsid w:val="6C2445BA"/>
    <w:rsid w:val="6E8B4FD3"/>
    <w:rsid w:val="700D41A8"/>
    <w:rsid w:val="74207B62"/>
    <w:rsid w:val="746B749A"/>
    <w:rsid w:val="7578362B"/>
    <w:rsid w:val="7BCB32E8"/>
    <w:rsid w:val="7C0E33A8"/>
    <w:rsid w:val="7F9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2019-12-04T06:45:00Z</dcterms:created>
  <dc:creator>阳海林</dc:creator>
  <cp:lastModifiedBy>阳海林</cp:lastModifiedBy>
  <dcterms:modified xsi:type="dcterms:W3CDTF">2019-12-20T08:56:12Z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