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截至2016年12月各地重点车辆入网率排名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99.96%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2017-01-03T15:31:06Z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