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截至2016年06月各地重点车辆入网率排名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入网总数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入网率%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7187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7187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河源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879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879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1917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1917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1863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1863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703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703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3366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3366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1048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1048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623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623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4512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4512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537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537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阳江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1498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1498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肇庆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1189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1189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1538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1538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珠海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1707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1707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4779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4777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99.96%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5182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5178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99.92%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1047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1044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99.71%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2016-07-04T09:42:16Z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