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57" w:rsidRDefault="00916757" w:rsidP="00916757">
      <w:pPr>
        <w:rPr>
          <w:rFonts w:ascii="黑体" w:eastAsia="黑体" w:hAnsi="黑体" w:cs="仿宋_GB2312"/>
          <w:sz w:val="32"/>
          <w:szCs w:val="32"/>
        </w:rPr>
      </w:pPr>
      <w:r>
        <w:rPr>
          <w:rFonts w:ascii="黑体" w:eastAsia="黑体" w:hAnsi="黑体" w:cs="仿宋_GB2312" w:hint="eastAsia"/>
          <w:sz w:val="32"/>
          <w:szCs w:val="32"/>
        </w:rPr>
        <w:t>附件</w:t>
      </w:r>
      <w:r>
        <w:rPr>
          <w:rFonts w:ascii="黑体" w:eastAsia="黑体" w:hAnsi="黑体" w:cs="仿宋_GB2312"/>
          <w:sz w:val="32"/>
          <w:szCs w:val="32"/>
        </w:rPr>
        <w:t>2</w:t>
      </w:r>
      <w:r>
        <w:rPr>
          <w:rFonts w:ascii="黑体" w:eastAsia="黑体" w:hAnsi="黑体" w:cs="仿宋_GB2312" w:hint="eastAsia"/>
          <w:sz w:val="32"/>
          <w:szCs w:val="32"/>
        </w:rPr>
        <w:t>：</w:t>
      </w:r>
    </w:p>
    <w:p w:rsidR="00916757" w:rsidRDefault="00916757" w:rsidP="00916757">
      <w:pPr>
        <w:spacing w:afterLines="50" w:after="156"/>
        <w:jc w:val="center"/>
        <w:rPr>
          <w:rFonts w:ascii="仿宋_GB2312" w:eastAsia="仿宋_GB2312" w:hAnsi="仿宋_GB2312" w:cs="仿宋_GB2312"/>
          <w:b/>
          <w:sz w:val="32"/>
          <w:szCs w:val="32"/>
        </w:rPr>
      </w:pPr>
      <w:r>
        <w:rPr>
          <w:rFonts w:ascii="仿宋" w:eastAsia="仿宋" w:hAnsi="仿宋" w:cs="等线" w:hint="eastAsia"/>
          <w:color w:val="000000"/>
          <w:kern w:val="0"/>
          <w:sz w:val="20"/>
          <w:u w:val="single"/>
        </w:rPr>
        <w:t xml:space="preserve">        </w:t>
      </w:r>
      <w:r>
        <w:rPr>
          <w:rFonts w:ascii="宋体" w:eastAsia="宋体" w:hAnsi="宋体"/>
          <w:b/>
          <w:sz w:val="36"/>
          <w:szCs w:val="32"/>
        </w:rPr>
        <w:t>市推进全国</w:t>
      </w:r>
      <w:r>
        <w:rPr>
          <w:rFonts w:ascii="宋体" w:eastAsia="宋体" w:hAnsi="宋体" w:hint="eastAsia"/>
          <w:b/>
          <w:sz w:val="36"/>
          <w:szCs w:val="32"/>
        </w:rPr>
        <w:t>交通</w:t>
      </w:r>
      <w:r>
        <w:rPr>
          <w:rFonts w:ascii="宋体" w:eastAsia="宋体" w:hAnsi="宋体"/>
          <w:b/>
          <w:sz w:val="36"/>
          <w:szCs w:val="32"/>
        </w:rPr>
        <w:t>一卡通应用</w:t>
      </w:r>
      <w:r>
        <w:rPr>
          <w:rFonts w:ascii="宋体" w:eastAsia="宋体" w:hAnsi="宋体" w:hint="eastAsia"/>
          <w:b/>
          <w:sz w:val="36"/>
          <w:szCs w:val="32"/>
        </w:rPr>
        <w:t>工作组成员分工表</w:t>
      </w:r>
      <w:r>
        <w:rPr>
          <w:rFonts w:ascii="宋体" w:eastAsia="宋体" w:hAnsi="宋体"/>
          <w:b/>
          <w:sz w:val="36"/>
          <w:szCs w:val="32"/>
        </w:rPr>
        <w:t>（</w:t>
      </w:r>
      <w:r>
        <w:rPr>
          <w:rFonts w:ascii="宋体" w:eastAsia="宋体" w:hAnsi="宋体" w:hint="eastAsia"/>
          <w:b/>
          <w:sz w:val="36"/>
          <w:szCs w:val="32"/>
        </w:rPr>
        <w:t>样式</w:t>
      </w:r>
      <w:r>
        <w:rPr>
          <w:rFonts w:ascii="宋体" w:eastAsia="宋体" w:hAnsi="宋体"/>
          <w:b/>
          <w:sz w:val="36"/>
          <w:szCs w:val="32"/>
        </w:rPr>
        <w:t>）</w:t>
      </w:r>
    </w:p>
    <w:p w:rsidR="00916757" w:rsidRPr="00FD6AEE" w:rsidRDefault="00916757" w:rsidP="00916757">
      <w:pPr>
        <w:rPr>
          <w:sz w:val="24"/>
          <w:szCs w:val="24"/>
        </w:rPr>
      </w:pPr>
      <w:r w:rsidRPr="00FD6AEE">
        <w:rPr>
          <w:rFonts w:hint="eastAsia"/>
          <w:sz w:val="24"/>
          <w:szCs w:val="24"/>
        </w:rPr>
        <w:t>督导协调工作组</w:t>
      </w:r>
    </w:p>
    <w:tbl>
      <w:tblPr>
        <w:tblStyle w:val="a5"/>
        <w:tblW w:w="14174" w:type="dxa"/>
        <w:tblLayout w:type="fixed"/>
        <w:tblLook w:val="04A0" w:firstRow="1" w:lastRow="0" w:firstColumn="1" w:lastColumn="0" w:noHBand="0" w:noVBand="1"/>
      </w:tblPr>
      <w:tblGrid>
        <w:gridCol w:w="704"/>
        <w:gridCol w:w="709"/>
        <w:gridCol w:w="850"/>
        <w:gridCol w:w="2694"/>
        <w:gridCol w:w="1134"/>
        <w:gridCol w:w="1134"/>
        <w:gridCol w:w="6949"/>
      </w:tblGrid>
      <w:tr w:rsidR="00916757" w:rsidRPr="00FD6AEE" w:rsidTr="00FD6AEE">
        <w:trPr>
          <w:trHeight w:val="397"/>
          <w:tblHeader/>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序号</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分工</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姓名</w:t>
            </w:r>
          </w:p>
        </w:tc>
        <w:tc>
          <w:tcPr>
            <w:tcW w:w="2694"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单位</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职务</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手机号码</w:t>
            </w:r>
          </w:p>
        </w:tc>
        <w:tc>
          <w:tcPr>
            <w:tcW w:w="6949"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主要职责</w:t>
            </w:r>
          </w:p>
        </w:tc>
      </w:tr>
      <w:tr w:rsidR="00916757" w:rsidRPr="00FD6AEE" w:rsidTr="00FD6AEE">
        <w:trPr>
          <w:trHeight w:val="397"/>
        </w:trPr>
        <w:tc>
          <w:tcPr>
            <w:tcW w:w="70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1</w:t>
            </w:r>
          </w:p>
        </w:tc>
        <w:tc>
          <w:tcPr>
            <w:tcW w:w="709"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组长</w:t>
            </w:r>
          </w:p>
        </w:tc>
        <w:tc>
          <w:tcPr>
            <w:tcW w:w="850"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hint="eastAsia"/>
                <w:color w:val="000000"/>
                <w:sz w:val="21"/>
                <w:szCs w:val="21"/>
              </w:rPr>
              <w:t>市交通运输局</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副局长</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负责审定本市公交、地铁公司和交通一卡通运营单位升级改造计划，指导实施进程，确保项目如期完成。</w:t>
            </w:r>
          </w:p>
        </w:tc>
      </w:tr>
      <w:tr w:rsidR="00916757" w:rsidRPr="00FD6AEE" w:rsidTr="00FD6AEE">
        <w:trPr>
          <w:trHeight w:val="397"/>
        </w:trPr>
        <w:tc>
          <w:tcPr>
            <w:tcW w:w="70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2</w:t>
            </w:r>
          </w:p>
        </w:tc>
        <w:tc>
          <w:tcPr>
            <w:tcW w:w="709"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hint="eastAsia"/>
                <w:color w:val="000000"/>
                <w:sz w:val="21"/>
                <w:szCs w:val="21"/>
              </w:rPr>
              <w:t>市交通运输局运管科</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科长</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负责按计划督导本市公交、地铁公司和交通一卡通运营单位升级改造计划实施进程。</w:t>
            </w:r>
          </w:p>
        </w:tc>
      </w:tr>
      <w:tr w:rsidR="00916757" w:rsidRPr="00FD6AEE" w:rsidTr="00FD6AEE">
        <w:trPr>
          <w:trHeight w:val="397"/>
        </w:trPr>
        <w:tc>
          <w:tcPr>
            <w:tcW w:w="70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3</w:t>
            </w:r>
          </w:p>
        </w:tc>
        <w:tc>
          <w:tcPr>
            <w:tcW w:w="709"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hint="eastAsia"/>
                <w:color w:val="000000"/>
                <w:sz w:val="21"/>
                <w:szCs w:val="21"/>
              </w:rPr>
              <w:t>广东岭南通股份有限公司</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项目经理</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负责督导跟进协调地市推进全国交通一卡通互联互通工作进展。</w:t>
            </w:r>
          </w:p>
        </w:tc>
      </w:tr>
      <w:tr w:rsidR="00916757" w:rsidRPr="00FD6AEE" w:rsidTr="00FD6AEE">
        <w:trPr>
          <w:trHeight w:val="397"/>
        </w:trPr>
        <w:tc>
          <w:tcPr>
            <w:tcW w:w="70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4</w:t>
            </w:r>
          </w:p>
        </w:tc>
        <w:tc>
          <w:tcPr>
            <w:tcW w:w="709"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cs="等线"/>
                <w:color w:val="000000"/>
                <w:sz w:val="21"/>
                <w:szCs w:val="21"/>
                <w:u w:val="single"/>
              </w:rPr>
              <w:t xml:space="preserve">     </w:t>
            </w:r>
            <w:r w:rsidRPr="00FD6AEE">
              <w:rPr>
                <w:rFonts w:ascii="仿宋_GB2312" w:eastAsia="仿宋_GB2312" w:hAnsi="仿宋" w:cs="等线" w:hint="eastAsia"/>
                <w:color w:val="000000"/>
                <w:sz w:val="21"/>
                <w:szCs w:val="21"/>
              </w:rPr>
              <w:t>（地市一卡通运营主体）</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总经理</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负责督导本公司人员按计划要求实施全国交通一卡通工程改造。</w:t>
            </w:r>
          </w:p>
        </w:tc>
      </w:tr>
      <w:tr w:rsidR="00916757" w:rsidRPr="00FD6AEE" w:rsidTr="00FD6AEE">
        <w:trPr>
          <w:trHeight w:val="397"/>
        </w:trPr>
        <w:tc>
          <w:tcPr>
            <w:tcW w:w="70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5</w:t>
            </w:r>
          </w:p>
        </w:tc>
        <w:tc>
          <w:tcPr>
            <w:tcW w:w="709"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2694" w:type="dxa"/>
            <w:shd w:val="clear" w:color="auto" w:fill="auto"/>
            <w:vAlign w:val="center"/>
          </w:tcPr>
          <w:p w:rsidR="00916757" w:rsidRPr="00FD6AEE" w:rsidRDefault="00916757" w:rsidP="0067250A">
            <w:pPr>
              <w:widowControl/>
              <w:snapToGrid w:val="0"/>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cs="等线" w:hint="eastAsia"/>
                <w:color w:val="000000"/>
                <w:sz w:val="21"/>
                <w:szCs w:val="21"/>
              </w:rPr>
              <w:t>（公交公司）</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总经理</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负责按计划调配本公司改造车辆配合工程改造调度以及全国交通一卡通标识粘贴。</w:t>
            </w:r>
          </w:p>
        </w:tc>
      </w:tr>
      <w:tr w:rsidR="00916757" w:rsidRPr="00FD6AEE" w:rsidTr="00FD6AEE">
        <w:trPr>
          <w:trHeight w:val="397"/>
        </w:trPr>
        <w:tc>
          <w:tcPr>
            <w:tcW w:w="70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6</w:t>
            </w:r>
          </w:p>
        </w:tc>
        <w:tc>
          <w:tcPr>
            <w:tcW w:w="709"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2694" w:type="dxa"/>
            <w:shd w:val="clear" w:color="auto" w:fill="auto"/>
            <w:vAlign w:val="center"/>
          </w:tcPr>
          <w:p w:rsidR="00916757" w:rsidRPr="00FD6AEE" w:rsidRDefault="00916757" w:rsidP="0067250A">
            <w:pPr>
              <w:widowControl/>
              <w:snapToGrid w:val="0"/>
              <w:jc w:val="left"/>
              <w:rPr>
                <w:rFonts w:ascii="仿宋_GB2312" w:eastAsia="仿宋_GB2312" w:hAnsi="仿宋" w:cs="等线"/>
                <w:color w:val="000000"/>
                <w:sz w:val="21"/>
                <w:szCs w:val="21"/>
                <w:u w:val="single"/>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cs="等线" w:hint="eastAsia"/>
                <w:color w:val="000000"/>
                <w:sz w:val="21"/>
                <w:szCs w:val="21"/>
              </w:rPr>
              <w:t>（地铁公司）</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总经理</w:t>
            </w:r>
          </w:p>
        </w:tc>
        <w:tc>
          <w:tcPr>
            <w:tcW w:w="1134" w:type="dxa"/>
            <w:vAlign w:val="center"/>
          </w:tcPr>
          <w:p w:rsidR="00916757" w:rsidRPr="00FD6AEE" w:rsidRDefault="00916757" w:rsidP="0067250A">
            <w:pPr>
              <w:widowControl/>
              <w:snapToGrid w:val="0"/>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负责按计划调配地铁系统及站点配合工程改造以及全国交通一卡通标识粘贴。</w:t>
            </w:r>
          </w:p>
        </w:tc>
      </w:tr>
    </w:tbl>
    <w:p w:rsidR="00916757" w:rsidRPr="00FD6AEE" w:rsidRDefault="00916757" w:rsidP="00916757">
      <w:pPr>
        <w:rPr>
          <w:sz w:val="24"/>
          <w:szCs w:val="24"/>
        </w:rPr>
      </w:pPr>
      <w:r w:rsidRPr="00FD6AEE">
        <w:rPr>
          <w:rFonts w:hint="eastAsia"/>
          <w:sz w:val="24"/>
          <w:szCs w:val="24"/>
        </w:rPr>
        <w:t>项目实施工作组</w:t>
      </w:r>
      <w:bookmarkStart w:id="0" w:name="_GoBack"/>
      <w:bookmarkEnd w:id="0"/>
    </w:p>
    <w:tbl>
      <w:tblPr>
        <w:tblStyle w:val="a5"/>
        <w:tblW w:w="14174" w:type="dxa"/>
        <w:tblLayout w:type="fixed"/>
        <w:tblLook w:val="04A0" w:firstRow="1" w:lastRow="0" w:firstColumn="1" w:lastColumn="0" w:noHBand="0" w:noVBand="1"/>
      </w:tblPr>
      <w:tblGrid>
        <w:gridCol w:w="704"/>
        <w:gridCol w:w="709"/>
        <w:gridCol w:w="850"/>
        <w:gridCol w:w="2694"/>
        <w:gridCol w:w="1134"/>
        <w:gridCol w:w="1134"/>
        <w:gridCol w:w="6949"/>
      </w:tblGrid>
      <w:tr w:rsidR="00916757" w:rsidRPr="00FD6AEE" w:rsidTr="00FD6AEE">
        <w:trPr>
          <w:trHeight w:val="340"/>
          <w:tblHeader/>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序号</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分工</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姓名</w:t>
            </w:r>
          </w:p>
        </w:tc>
        <w:tc>
          <w:tcPr>
            <w:tcW w:w="2694"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单位</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职务</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手机号码</w:t>
            </w:r>
          </w:p>
        </w:tc>
        <w:tc>
          <w:tcPr>
            <w:tcW w:w="6949" w:type="dxa"/>
            <w:vAlign w:val="center"/>
          </w:tcPr>
          <w:p w:rsidR="00916757" w:rsidRPr="00FD6AEE" w:rsidRDefault="00916757" w:rsidP="0067250A">
            <w:pPr>
              <w:widowControl/>
              <w:snapToGrid w:val="0"/>
              <w:spacing w:line="276" w:lineRule="auto"/>
              <w:jc w:val="center"/>
              <w:rPr>
                <w:rFonts w:ascii="仿宋_GB2312" w:eastAsia="仿宋_GB2312" w:hAnsi="仿宋"/>
                <w:b/>
                <w:bCs/>
                <w:color w:val="000000"/>
                <w:sz w:val="21"/>
                <w:szCs w:val="21"/>
              </w:rPr>
            </w:pPr>
            <w:r w:rsidRPr="00FD6AEE">
              <w:rPr>
                <w:rFonts w:ascii="仿宋_GB2312" w:eastAsia="仿宋_GB2312" w:hAnsi="仿宋" w:hint="eastAsia"/>
                <w:b/>
                <w:bCs/>
                <w:color w:val="000000"/>
                <w:sz w:val="21"/>
                <w:szCs w:val="21"/>
              </w:rPr>
              <w:t>主要职责</w:t>
            </w:r>
          </w:p>
        </w:tc>
      </w:tr>
      <w:tr w:rsidR="00916757" w:rsidRPr="00FD6AEE" w:rsidTr="00FD6AEE">
        <w:trPr>
          <w:trHeight w:val="340"/>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1</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组长</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cs="等线"/>
                <w:color w:val="000000"/>
                <w:sz w:val="21"/>
                <w:szCs w:val="21"/>
                <w:u w:val="single"/>
              </w:rPr>
              <w:t xml:space="preserve">    </w:t>
            </w:r>
            <w:r w:rsidRPr="00FD6AEE">
              <w:rPr>
                <w:rFonts w:ascii="仿宋_GB2312" w:eastAsia="仿宋_GB2312" w:hAnsi="仿宋" w:cs="等线" w:hint="eastAsia"/>
                <w:color w:val="000000"/>
                <w:sz w:val="21"/>
                <w:szCs w:val="21"/>
              </w:rPr>
              <w:t>（地市一卡通运营主体）</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spacing w:line="276" w:lineRule="auto"/>
              <w:jc w:val="left"/>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负责编制本市升级改造实施计划，统筹与实施工作落实，及时上报项目进展情况。</w:t>
            </w:r>
          </w:p>
        </w:tc>
      </w:tr>
      <w:tr w:rsidR="00916757" w:rsidRPr="00FD6AEE" w:rsidTr="00FD6AEE">
        <w:trPr>
          <w:trHeight w:val="340"/>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2</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hint="eastAsia"/>
                <w:color w:val="000000"/>
                <w:sz w:val="21"/>
                <w:szCs w:val="21"/>
              </w:rPr>
              <w:t>市交通运输局运管科</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spacing w:line="276" w:lineRule="auto"/>
              <w:jc w:val="left"/>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负责协调推动本市公交、地铁公司按计划组织工程改造车辆及站点配合改造。</w:t>
            </w:r>
          </w:p>
        </w:tc>
      </w:tr>
      <w:tr w:rsidR="00916757" w:rsidRPr="00FD6AEE" w:rsidTr="00FD6AEE">
        <w:trPr>
          <w:trHeight w:val="340"/>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3</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hint="eastAsia"/>
                <w:color w:val="000000"/>
                <w:sz w:val="21"/>
                <w:szCs w:val="21"/>
              </w:rPr>
              <w:t>广东岭南通股份有限公司</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项目经理</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spacing w:line="276" w:lineRule="auto"/>
              <w:jc w:val="left"/>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协助地市交通运输局和交通一卡通公司制定改造方案，落实项目计划。</w:t>
            </w:r>
          </w:p>
        </w:tc>
      </w:tr>
      <w:tr w:rsidR="00916757" w:rsidRPr="00FD6AEE" w:rsidTr="00FD6AEE">
        <w:trPr>
          <w:trHeight w:val="340"/>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lastRenderedPageBreak/>
              <w:t>4</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hint="eastAsia"/>
                <w:color w:val="000000"/>
                <w:sz w:val="21"/>
                <w:szCs w:val="21"/>
              </w:rPr>
              <w:t>广东岭南通股份有限公司</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技术经理</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spacing w:line="276" w:lineRule="auto"/>
              <w:jc w:val="left"/>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协助制定升级改造技术方案，提供升级改造技术保障。</w:t>
            </w:r>
          </w:p>
        </w:tc>
      </w:tr>
      <w:tr w:rsidR="00916757" w:rsidRPr="00FD6AEE" w:rsidTr="00FD6AEE">
        <w:trPr>
          <w:trHeight w:val="340"/>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5</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cs="等线" w:hint="eastAsia"/>
                <w:color w:val="000000"/>
                <w:sz w:val="21"/>
                <w:szCs w:val="21"/>
              </w:rPr>
              <w:t>（公交供货厂家）</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spacing w:line="276" w:lineRule="auto"/>
              <w:jc w:val="left"/>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负责按计划安装、升级改造车载终端及采集和应用管理平台升级。</w:t>
            </w:r>
          </w:p>
        </w:tc>
      </w:tr>
      <w:tr w:rsidR="00916757" w:rsidRPr="00FD6AEE" w:rsidTr="00FD6AEE">
        <w:trPr>
          <w:trHeight w:val="340"/>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6</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2694" w:type="dxa"/>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cs="等线" w:hint="eastAsia"/>
                <w:color w:val="000000"/>
                <w:sz w:val="21"/>
                <w:szCs w:val="21"/>
              </w:rPr>
              <w:t>（地铁供货厂家）</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spacing w:line="276" w:lineRule="auto"/>
              <w:jc w:val="left"/>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负责按计划安装、升级改造站点闸机终端及采集和应用管理平台升级。</w:t>
            </w:r>
          </w:p>
        </w:tc>
      </w:tr>
      <w:tr w:rsidR="00916757" w:rsidRPr="00FD6AEE" w:rsidTr="00FD6AEE">
        <w:trPr>
          <w:trHeight w:val="340"/>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7</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2694" w:type="dxa"/>
            <w:shd w:val="clear" w:color="auto" w:fill="auto"/>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cs="等线" w:hint="eastAsia"/>
                <w:color w:val="000000"/>
                <w:sz w:val="21"/>
                <w:szCs w:val="21"/>
              </w:rPr>
              <w:t>（公交公司）</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spacing w:line="276" w:lineRule="auto"/>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负责按计划调度本公司改造车辆配合工程改造，以及全国交通一卡通标识粘贴。</w:t>
            </w:r>
          </w:p>
        </w:tc>
      </w:tr>
      <w:tr w:rsidR="00916757" w:rsidRPr="00FD6AEE" w:rsidTr="00FD6AEE">
        <w:trPr>
          <w:trHeight w:val="340"/>
        </w:trPr>
        <w:tc>
          <w:tcPr>
            <w:tcW w:w="70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8</w:t>
            </w:r>
          </w:p>
        </w:tc>
        <w:tc>
          <w:tcPr>
            <w:tcW w:w="709"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r w:rsidRPr="00FD6AEE">
              <w:rPr>
                <w:rFonts w:ascii="仿宋_GB2312" w:eastAsia="仿宋_GB2312" w:hAnsi="仿宋" w:hint="eastAsia"/>
                <w:color w:val="000000"/>
                <w:sz w:val="21"/>
                <w:szCs w:val="21"/>
              </w:rPr>
              <w:t>成员</w:t>
            </w:r>
          </w:p>
        </w:tc>
        <w:tc>
          <w:tcPr>
            <w:tcW w:w="850"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2694" w:type="dxa"/>
            <w:shd w:val="clear" w:color="auto" w:fill="auto"/>
            <w:vAlign w:val="center"/>
          </w:tcPr>
          <w:p w:rsidR="00916757" w:rsidRPr="00FD6AEE" w:rsidRDefault="00916757" w:rsidP="0067250A">
            <w:pPr>
              <w:widowControl/>
              <w:snapToGrid w:val="0"/>
              <w:spacing w:line="276" w:lineRule="auto"/>
              <w:jc w:val="left"/>
              <w:rPr>
                <w:rFonts w:ascii="仿宋_GB2312" w:eastAsia="仿宋_GB2312" w:hAnsi="仿宋"/>
                <w:color w:val="000000"/>
                <w:sz w:val="21"/>
                <w:szCs w:val="21"/>
              </w:rPr>
            </w:pPr>
            <w:r w:rsidRPr="00FD6AEE">
              <w:rPr>
                <w:rFonts w:ascii="仿宋_GB2312" w:eastAsia="仿宋_GB2312" w:hAnsi="仿宋" w:cs="等线" w:hint="eastAsia"/>
                <w:color w:val="000000"/>
                <w:sz w:val="21"/>
                <w:szCs w:val="21"/>
                <w:u w:val="single"/>
              </w:rPr>
              <w:t xml:space="preserve">         </w:t>
            </w:r>
            <w:r w:rsidRPr="00FD6AEE">
              <w:rPr>
                <w:rFonts w:ascii="仿宋_GB2312" w:eastAsia="仿宋_GB2312" w:hAnsi="仿宋" w:cs="等线" w:hint="eastAsia"/>
                <w:color w:val="000000"/>
                <w:sz w:val="21"/>
                <w:szCs w:val="21"/>
              </w:rPr>
              <w:t>（地铁公司）</w:t>
            </w: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1134" w:type="dxa"/>
            <w:vAlign w:val="center"/>
          </w:tcPr>
          <w:p w:rsidR="00916757" w:rsidRPr="00FD6AEE" w:rsidRDefault="00916757" w:rsidP="0067250A">
            <w:pPr>
              <w:widowControl/>
              <w:snapToGrid w:val="0"/>
              <w:spacing w:line="276" w:lineRule="auto"/>
              <w:jc w:val="center"/>
              <w:rPr>
                <w:rFonts w:ascii="仿宋_GB2312" w:eastAsia="仿宋_GB2312" w:hAnsi="仿宋"/>
                <w:color w:val="000000"/>
                <w:sz w:val="21"/>
                <w:szCs w:val="21"/>
              </w:rPr>
            </w:pPr>
          </w:p>
        </w:tc>
        <w:tc>
          <w:tcPr>
            <w:tcW w:w="6949" w:type="dxa"/>
            <w:vAlign w:val="center"/>
          </w:tcPr>
          <w:p w:rsidR="00916757" w:rsidRPr="00FD6AEE" w:rsidRDefault="00916757" w:rsidP="0067250A">
            <w:pPr>
              <w:widowControl/>
              <w:snapToGrid w:val="0"/>
              <w:spacing w:line="276" w:lineRule="auto"/>
              <w:rPr>
                <w:rFonts w:ascii="仿宋_GB2312" w:eastAsia="仿宋_GB2312" w:hAnsi="仿宋"/>
                <w:i/>
                <w:color w:val="000000"/>
                <w:sz w:val="21"/>
                <w:szCs w:val="21"/>
              </w:rPr>
            </w:pPr>
            <w:r w:rsidRPr="00FD6AEE">
              <w:rPr>
                <w:rFonts w:ascii="仿宋_GB2312" w:eastAsia="仿宋_GB2312" w:hAnsi="仿宋" w:hint="eastAsia"/>
                <w:i/>
                <w:color w:val="000000"/>
                <w:sz w:val="21"/>
                <w:szCs w:val="21"/>
              </w:rPr>
              <w:t>负责按计划调度地铁站点配合工程改造，以及全国交通一卡通标识粘贴。</w:t>
            </w:r>
          </w:p>
        </w:tc>
      </w:tr>
    </w:tbl>
    <w:p w:rsidR="00916757" w:rsidRPr="00FD6AEE" w:rsidRDefault="00916757" w:rsidP="00916757">
      <w:pPr>
        <w:ind w:firstLine="420"/>
        <w:rPr>
          <w:rFonts w:ascii="仿宋_GB2312" w:eastAsia="仿宋_GB2312" w:hAnsi="仿宋_GB2312" w:cs="仿宋_GB2312"/>
          <w:szCs w:val="21"/>
        </w:rPr>
      </w:pPr>
    </w:p>
    <w:p w:rsidR="00916757" w:rsidRPr="00FD6AEE" w:rsidRDefault="00916757" w:rsidP="00916757">
      <w:pPr>
        <w:ind w:left="1260" w:hangingChars="600" w:hanging="1260"/>
        <w:rPr>
          <w:rFonts w:ascii="仿宋" w:eastAsia="仿宋" w:hAnsi="仿宋"/>
          <w:szCs w:val="21"/>
        </w:rPr>
      </w:pPr>
      <w:r w:rsidRPr="00FD6AEE">
        <w:rPr>
          <w:rFonts w:ascii="仿宋" w:eastAsia="仿宋" w:hAnsi="仿宋" w:hint="eastAsia"/>
          <w:szCs w:val="21"/>
        </w:rPr>
        <w:t>填表说明：</w:t>
      </w:r>
      <w:r w:rsidRPr="00FD6AEE">
        <w:rPr>
          <w:rFonts w:ascii="仿宋" w:eastAsia="仿宋" w:hAnsi="仿宋"/>
          <w:szCs w:val="21"/>
        </w:rPr>
        <w:t>1.各地市交通运输主管部门组织当地</w:t>
      </w:r>
      <w:r w:rsidRPr="00FD6AEE">
        <w:rPr>
          <w:rFonts w:ascii="仿宋" w:eastAsia="仿宋" w:hAnsi="仿宋" w:hint="eastAsia"/>
          <w:szCs w:val="21"/>
        </w:rPr>
        <w:t>一卡通运营主体和公共交通（包括地铁、农村客运）运输企业填写分工表，并负责审核及盖章报送；</w:t>
      </w:r>
    </w:p>
    <w:p w:rsidR="00916757" w:rsidRPr="00FD6AEE" w:rsidRDefault="00916757" w:rsidP="00916757">
      <w:pPr>
        <w:ind w:leftChars="400" w:left="1260" w:hangingChars="200" w:hanging="420"/>
        <w:rPr>
          <w:rFonts w:ascii="仿宋" w:eastAsia="仿宋" w:hAnsi="仿宋"/>
          <w:szCs w:val="21"/>
        </w:rPr>
      </w:pPr>
      <w:r w:rsidRPr="00FD6AEE">
        <w:rPr>
          <w:rFonts w:ascii="仿宋" w:eastAsia="仿宋" w:hAnsi="仿宋"/>
          <w:szCs w:val="21"/>
        </w:rPr>
        <w:t>2.表格中斜体字仅为示例，请根据实际情况填写；</w:t>
      </w:r>
    </w:p>
    <w:p w:rsidR="00916757" w:rsidRPr="00FD6AEE" w:rsidRDefault="00916757" w:rsidP="00916757">
      <w:pPr>
        <w:ind w:leftChars="400" w:left="1260" w:hangingChars="200" w:hanging="420"/>
        <w:rPr>
          <w:rFonts w:ascii="仿宋" w:eastAsia="仿宋" w:hAnsi="仿宋"/>
          <w:szCs w:val="21"/>
        </w:rPr>
      </w:pPr>
      <w:r w:rsidRPr="00FD6AEE">
        <w:rPr>
          <w:rFonts w:ascii="仿宋" w:eastAsia="仿宋" w:hAnsi="仿宋"/>
          <w:szCs w:val="21"/>
        </w:rPr>
        <w:t>3.表格括号内文字仅为提示，实际填写时请删除。</w:t>
      </w:r>
    </w:p>
    <w:p w:rsidR="00620942" w:rsidRPr="00FD6AEE" w:rsidRDefault="00620942">
      <w:pPr>
        <w:rPr>
          <w:szCs w:val="21"/>
        </w:rPr>
      </w:pPr>
    </w:p>
    <w:sectPr w:rsidR="00620942" w:rsidRPr="00FD6AEE" w:rsidSect="0091675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B2" w:rsidRDefault="007C2AB2" w:rsidP="00916757">
      <w:r>
        <w:separator/>
      </w:r>
    </w:p>
  </w:endnote>
  <w:endnote w:type="continuationSeparator" w:id="0">
    <w:p w:rsidR="007C2AB2" w:rsidRDefault="007C2AB2" w:rsidP="0091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B2" w:rsidRDefault="007C2AB2" w:rsidP="00916757">
      <w:r>
        <w:separator/>
      </w:r>
    </w:p>
  </w:footnote>
  <w:footnote w:type="continuationSeparator" w:id="0">
    <w:p w:rsidR="007C2AB2" w:rsidRDefault="007C2AB2" w:rsidP="00916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7B"/>
    <w:rsid w:val="00594B7B"/>
    <w:rsid w:val="00620942"/>
    <w:rsid w:val="007C2AB2"/>
    <w:rsid w:val="00916757"/>
    <w:rsid w:val="00CE2A4C"/>
    <w:rsid w:val="00FD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3DD6CE-2A75-4349-9A72-54CA1BBB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757"/>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7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6757"/>
    <w:rPr>
      <w:sz w:val="18"/>
      <w:szCs w:val="18"/>
    </w:rPr>
  </w:style>
  <w:style w:type="paragraph" w:styleId="a4">
    <w:name w:val="footer"/>
    <w:basedOn w:val="a"/>
    <w:link w:val="Char0"/>
    <w:uiPriority w:val="99"/>
    <w:unhideWhenUsed/>
    <w:rsid w:val="009167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6757"/>
    <w:rPr>
      <w:sz w:val="18"/>
      <w:szCs w:val="18"/>
    </w:rPr>
  </w:style>
  <w:style w:type="table" w:styleId="a5">
    <w:name w:val="Table Grid"/>
    <w:basedOn w:val="a1"/>
    <w:uiPriority w:val="39"/>
    <w:qFormat/>
    <w:rsid w:val="00916757"/>
    <w:pPr>
      <w:widowControl w:val="0"/>
      <w:jc w:val="both"/>
    </w:pPr>
    <w:rPr>
      <w:rFonts w:ascii="等线" w:eastAsia="等线" w:hAnsi="等线"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2F3B-20BE-465A-8C57-C31B2CC1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3</cp:revision>
  <dcterms:created xsi:type="dcterms:W3CDTF">2018-03-09T08:12:00Z</dcterms:created>
  <dcterms:modified xsi:type="dcterms:W3CDTF">2018-03-09T08:40:00Z</dcterms:modified>
</cp:coreProperties>
</file>